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DA4" w:rsidRPr="006F4DA4" w:rsidRDefault="006F4DA4" w:rsidP="006F4DA4">
      <w:pPr>
        <w:spacing w:line="240" w:lineRule="auto"/>
        <w:jc w:val="center"/>
        <w:rPr>
          <w:rFonts w:ascii="Times New Roman" w:hAnsi="Times New Roman" w:cs="Times New Roman"/>
          <w:b/>
          <w:sz w:val="28"/>
          <w:szCs w:val="28"/>
        </w:rPr>
      </w:pPr>
      <w:r w:rsidRPr="006F4DA4">
        <w:rPr>
          <w:rFonts w:ascii="Times New Roman" w:hAnsi="Times New Roman" w:cs="Times New Roman"/>
          <w:b/>
          <w:sz w:val="28"/>
          <w:szCs w:val="28"/>
        </w:rPr>
        <w:t>МИНОБРНАУКИ РОССИИ</w:t>
      </w:r>
    </w:p>
    <w:p w:rsidR="006F4DA4" w:rsidRPr="006F4DA4" w:rsidRDefault="006F4DA4" w:rsidP="006F4DA4">
      <w:pPr>
        <w:spacing w:line="240" w:lineRule="auto"/>
        <w:jc w:val="center"/>
        <w:rPr>
          <w:rFonts w:ascii="Times New Roman" w:hAnsi="Times New Roman" w:cs="Times New Roman"/>
          <w:b/>
          <w:sz w:val="28"/>
          <w:szCs w:val="28"/>
        </w:rPr>
      </w:pPr>
    </w:p>
    <w:p w:rsidR="006F4DA4" w:rsidRPr="006F4DA4" w:rsidRDefault="006F4DA4" w:rsidP="006F4DA4">
      <w:pPr>
        <w:spacing w:line="240" w:lineRule="auto"/>
        <w:jc w:val="center"/>
        <w:rPr>
          <w:rFonts w:ascii="Times New Roman" w:hAnsi="Times New Roman" w:cs="Times New Roman"/>
          <w:b/>
          <w:sz w:val="28"/>
          <w:szCs w:val="28"/>
        </w:rPr>
      </w:pPr>
      <w:r w:rsidRPr="006F4DA4">
        <w:rPr>
          <w:rFonts w:ascii="Times New Roman" w:hAnsi="Times New Roman" w:cs="Times New Roman"/>
          <w:b/>
          <w:sz w:val="28"/>
          <w:szCs w:val="28"/>
        </w:rPr>
        <w:t>Федеральное государственное автономное образовательное</w:t>
      </w:r>
    </w:p>
    <w:p w:rsidR="006F4DA4" w:rsidRPr="006F4DA4" w:rsidRDefault="006F4DA4" w:rsidP="006F4DA4">
      <w:pPr>
        <w:spacing w:line="240" w:lineRule="auto"/>
        <w:jc w:val="center"/>
        <w:rPr>
          <w:rFonts w:ascii="Times New Roman" w:hAnsi="Times New Roman" w:cs="Times New Roman"/>
          <w:b/>
          <w:sz w:val="28"/>
          <w:szCs w:val="28"/>
        </w:rPr>
      </w:pPr>
      <w:r w:rsidRPr="006F4DA4">
        <w:rPr>
          <w:rFonts w:ascii="Times New Roman" w:hAnsi="Times New Roman" w:cs="Times New Roman"/>
          <w:b/>
          <w:sz w:val="28"/>
          <w:szCs w:val="28"/>
        </w:rPr>
        <w:t>учреждение высшего профессионального образования</w:t>
      </w:r>
    </w:p>
    <w:p w:rsidR="006F4DA4" w:rsidRPr="006F4DA4" w:rsidRDefault="006F4DA4" w:rsidP="006F4DA4">
      <w:pPr>
        <w:spacing w:line="240" w:lineRule="auto"/>
        <w:jc w:val="center"/>
        <w:rPr>
          <w:rFonts w:ascii="Times New Roman" w:hAnsi="Times New Roman" w:cs="Times New Roman"/>
          <w:b/>
          <w:sz w:val="28"/>
          <w:szCs w:val="28"/>
        </w:rPr>
      </w:pPr>
      <w:r w:rsidRPr="006F4DA4">
        <w:rPr>
          <w:rFonts w:ascii="Times New Roman" w:hAnsi="Times New Roman" w:cs="Times New Roman"/>
          <w:b/>
          <w:sz w:val="28"/>
          <w:szCs w:val="28"/>
        </w:rPr>
        <w:t>«</w:t>
      </w:r>
      <w:r w:rsidRPr="006F4DA4">
        <w:rPr>
          <w:rFonts w:ascii="Times New Roman" w:hAnsi="Times New Roman" w:cs="Times New Roman"/>
          <w:b/>
          <w:caps/>
          <w:sz w:val="28"/>
          <w:szCs w:val="28"/>
        </w:rPr>
        <w:t>Южный федеральный университет</w:t>
      </w:r>
      <w:r w:rsidRPr="006F4DA4">
        <w:rPr>
          <w:rFonts w:ascii="Times New Roman" w:hAnsi="Times New Roman" w:cs="Times New Roman"/>
          <w:b/>
          <w:sz w:val="28"/>
          <w:szCs w:val="28"/>
        </w:rPr>
        <w:t>»</w:t>
      </w:r>
    </w:p>
    <w:p w:rsidR="006F4DA4" w:rsidRPr="006F4DA4" w:rsidRDefault="006F4DA4" w:rsidP="006F4DA4">
      <w:pPr>
        <w:spacing w:line="240" w:lineRule="auto"/>
        <w:jc w:val="center"/>
        <w:rPr>
          <w:rFonts w:ascii="Times New Roman" w:hAnsi="Times New Roman" w:cs="Times New Roman"/>
          <w:b/>
          <w:sz w:val="28"/>
          <w:szCs w:val="28"/>
        </w:rPr>
      </w:pPr>
    </w:p>
    <w:p w:rsidR="006F4DA4" w:rsidRPr="006F4DA4" w:rsidRDefault="006F4DA4" w:rsidP="006F4DA4">
      <w:pPr>
        <w:spacing w:line="240" w:lineRule="auto"/>
        <w:jc w:val="center"/>
        <w:rPr>
          <w:rFonts w:ascii="Times New Roman" w:hAnsi="Times New Roman" w:cs="Times New Roman"/>
          <w:b/>
          <w:sz w:val="28"/>
          <w:szCs w:val="28"/>
        </w:rPr>
      </w:pPr>
      <w:r w:rsidRPr="006F4DA4">
        <w:rPr>
          <w:rFonts w:ascii="Times New Roman" w:hAnsi="Times New Roman" w:cs="Times New Roman"/>
          <w:b/>
          <w:sz w:val="28"/>
          <w:szCs w:val="28"/>
        </w:rPr>
        <w:t>Факультет биологических наук</w:t>
      </w:r>
    </w:p>
    <w:p w:rsidR="006F4DA4" w:rsidRPr="006F4DA4" w:rsidRDefault="006F4DA4" w:rsidP="006F4DA4">
      <w:pPr>
        <w:spacing w:line="240" w:lineRule="auto"/>
        <w:jc w:val="center"/>
        <w:rPr>
          <w:rFonts w:ascii="Times New Roman" w:hAnsi="Times New Roman" w:cs="Times New Roman"/>
          <w:b/>
          <w:sz w:val="28"/>
          <w:szCs w:val="28"/>
        </w:rPr>
      </w:pPr>
      <w:r w:rsidRPr="006F4DA4">
        <w:rPr>
          <w:rFonts w:ascii="Times New Roman" w:hAnsi="Times New Roman" w:cs="Times New Roman"/>
          <w:b/>
          <w:sz w:val="28"/>
          <w:szCs w:val="28"/>
        </w:rPr>
        <w:t>Кафедра генетики</w:t>
      </w:r>
    </w:p>
    <w:p w:rsidR="006F4DA4" w:rsidRPr="006F4DA4" w:rsidRDefault="006F4DA4" w:rsidP="006F4DA4">
      <w:pPr>
        <w:ind w:firstLine="0"/>
        <w:jc w:val="center"/>
        <w:rPr>
          <w:rFonts w:ascii="Times New Roman" w:hAnsi="Times New Roman" w:cs="Times New Roman"/>
        </w:rPr>
      </w:pPr>
    </w:p>
    <w:p w:rsidR="006F4DA4" w:rsidRPr="006F4DA4" w:rsidRDefault="006F4DA4" w:rsidP="006F4DA4">
      <w:pPr>
        <w:ind w:firstLine="0"/>
        <w:rPr>
          <w:rFonts w:ascii="Times New Roman" w:hAnsi="Times New Roman" w:cs="Times New Roman"/>
        </w:rPr>
      </w:pPr>
    </w:p>
    <w:p w:rsidR="006F4DA4" w:rsidRPr="006F4DA4" w:rsidRDefault="006F4DA4" w:rsidP="006F4DA4">
      <w:pPr>
        <w:ind w:firstLine="0"/>
        <w:rPr>
          <w:rFonts w:ascii="Times New Roman" w:hAnsi="Times New Roman" w:cs="Times New Roman"/>
        </w:rPr>
      </w:pPr>
    </w:p>
    <w:p w:rsidR="006F4DA4" w:rsidRPr="006F4DA4" w:rsidRDefault="006F4DA4" w:rsidP="006F4DA4">
      <w:pPr>
        <w:ind w:firstLine="0"/>
        <w:rPr>
          <w:rFonts w:ascii="Times New Roman" w:hAnsi="Times New Roman" w:cs="Times New Roman"/>
        </w:rPr>
      </w:pPr>
    </w:p>
    <w:p w:rsidR="006F4DA4" w:rsidRPr="006F4DA4" w:rsidRDefault="006F4DA4" w:rsidP="006F4DA4">
      <w:pPr>
        <w:ind w:firstLine="0"/>
        <w:rPr>
          <w:rFonts w:ascii="Times New Roman" w:hAnsi="Times New Roman" w:cs="Times New Roman"/>
        </w:rPr>
      </w:pPr>
    </w:p>
    <w:p w:rsidR="006F4DA4" w:rsidRPr="006F4DA4" w:rsidRDefault="006F4DA4" w:rsidP="006F4DA4">
      <w:pPr>
        <w:ind w:firstLine="0"/>
        <w:rPr>
          <w:rFonts w:ascii="Times New Roman" w:hAnsi="Times New Roman" w:cs="Times New Roman"/>
        </w:rPr>
      </w:pPr>
    </w:p>
    <w:p w:rsidR="006F4DA4" w:rsidRPr="006F4DA4" w:rsidRDefault="006F4DA4" w:rsidP="006F4DA4">
      <w:pPr>
        <w:ind w:firstLine="0"/>
        <w:jc w:val="center"/>
        <w:rPr>
          <w:rFonts w:ascii="Times New Roman" w:hAnsi="Times New Roman" w:cs="Times New Roman"/>
          <w:sz w:val="28"/>
          <w:szCs w:val="28"/>
        </w:rPr>
      </w:pPr>
      <w:r w:rsidRPr="006F4DA4">
        <w:rPr>
          <w:rFonts w:ascii="Times New Roman" w:hAnsi="Times New Roman" w:cs="Times New Roman"/>
          <w:sz w:val="28"/>
          <w:szCs w:val="28"/>
        </w:rPr>
        <w:t>Научно-образовательные материалы для студентов по теме</w:t>
      </w:r>
    </w:p>
    <w:p w:rsidR="006F4DA4" w:rsidRPr="006F4DA4" w:rsidRDefault="006F4DA4" w:rsidP="006F4DA4">
      <w:pPr>
        <w:ind w:firstLine="0"/>
        <w:jc w:val="center"/>
        <w:rPr>
          <w:rFonts w:ascii="Times New Roman" w:hAnsi="Times New Roman" w:cs="Times New Roman"/>
          <w:sz w:val="28"/>
          <w:szCs w:val="28"/>
        </w:rPr>
      </w:pPr>
    </w:p>
    <w:p w:rsidR="006F4DA4" w:rsidRPr="006F4DA4" w:rsidRDefault="006F4DA4" w:rsidP="006F4DA4">
      <w:pPr>
        <w:ind w:firstLine="0"/>
        <w:jc w:val="center"/>
        <w:rPr>
          <w:rFonts w:ascii="Times New Roman" w:hAnsi="Times New Roman" w:cs="Times New Roman"/>
          <w:b/>
          <w:sz w:val="28"/>
          <w:szCs w:val="28"/>
        </w:rPr>
      </w:pPr>
      <w:r>
        <w:rPr>
          <w:rFonts w:ascii="Times New Roman" w:hAnsi="Times New Roman" w:cs="Times New Roman"/>
          <w:b/>
          <w:sz w:val="28"/>
          <w:szCs w:val="28"/>
        </w:rPr>
        <w:t>Современные методы анализа транскриптомных профилей</w:t>
      </w: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rPr>
          <w:rFonts w:ascii="Times New Roman" w:hAnsi="Times New Roman" w:cs="Times New Roman"/>
        </w:rPr>
      </w:pPr>
    </w:p>
    <w:p w:rsidR="006F4DA4" w:rsidRPr="006F4DA4" w:rsidRDefault="006F4DA4" w:rsidP="006F4DA4">
      <w:pPr>
        <w:jc w:val="right"/>
        <w:rPr>
          <w:rFonts w:ascii="Times New Roman" w:hAnsi="Times New Roman" w:cs="Times New Roman"/>
        </w:rPr>
      </w:pPr>
      <w:r>
        <w:rPr>
          <w:rFonts w:ascii="Times New Roman" w:hAnsi="Times New Roman" w:cs="Times New Roman"/>
        </w:rPr>
        <w:t>Золотухин Петр Владимирович</w:t>
      </w:r>
    </w:p>
    <w:p w:rsidR="006F4DA4" w:rsidRPr="006F4DA4" w:rsidRDefault="006F4DA4" w:rsidP="006F4DA4">
      <w:pPr>
        <w:jc w:val="right"/>
        <w:rPr>
          <w:rFonts w:ascii="Times New Roman" w:hAnsi="Times New Roman" w:cs="Times New Roman"/>
        </w:rPr>
      </w:pPr>
    </w:p>
    <w:p w:rsidR="006F4DA4" w:rsidRPr="006F4DA4" w:rsidRDefault="006F4DA4" w:rsidP="006F4DA4">
      <w:pPr>
        <w:jc w:val="right"/>
        <w:rPr>
          <w:rFonts w:ascii="Times New Roman" w:hAnsi="Times New Roman" w:cs="Times New Roman"/>
        </w:rPr>
      </w:pPr>
    </w:p>
    <w:p w:rsidR="006F4DA4" w:rsidRPr="006F4DA4" w:rsidRDefault="006F4DA4" w:rsidP="006F4DA4">
      <w:pPr>
        <w:jc w:val="right"/>
        <w:rPr>
          <w:rFonts w:ascii="Times New Roman" w:hAnsi="Times New Roman" w:cs="Times New Roman"/>
        </w:rPr>
      </w:pPr>
    </w:p>
    <w:p w:rsidR="006F4DA4" w:rsidRPr="006F4DA4" w:rsidRDefault="006F4DA4" w:rsidP="006F4DA4">
      <w:pPr>
        <w:jc w:val="right"/>
        <w:rPr>
          <w:rFonts w:ascii="Times New Roman" w:hAnsi="Times New Roman" w:cs="Times New Roman"/>
        </w:rPr>
      </w:pPr>
    </w:p>
    <w:p w:rsidR="006F4DA4" w:rsidRPr="006F4DA4" w:rsidRDefault="006F4DA4" w:rsidP="006F4DA4">
      <w:pPr>
        <w:ind w:firstLine="0"/>
        <w:jc w:val="center"/>
        <w:rPr>
          <w:rFonts w:ascii="Times New Roman" w:hAnsi="Times New Roman" w:cs="Times New Roman"/>
        </w:rPr>
      </w:pPr>
      <w:r w:rsidRPr="006F4DA4">
        <w:rPr>
          <w:rFonts w:ascii="Times New Roman" w:hAnsi="Times New Roman" w:cs="Times New Roman"/>
        </w:rPr>
        <w:t>Ростов-на-Дону</w:t>
      </w:r>
    </w:p>
    <w:p w:rsidR="006F4DA4" w:rsidRPr="006F4DA4" w:rsidRDefault="006F4DA4" w:rsidP="006F4DA4">
      <w:pPr>
        <w:ind w:firstLine="0"/>
        <w:jc w:val="center"/>
        <w:rPr>
          <w:rFonts w:ascii="Times New Roman" w:hAnsi="Times New Roman" w:cs="Times New Roman"/>
        </w:rPr>
      </w:pPr>
      <w:r w:rsidRPr="006F4DA4">
        <w:rPr>
          <w:rFonts w:ascii="Times New Roman" w:hAnsi="Times New Roman" w:cs="Times New Roman"/>
        </w:rPr>
        <w:t>2013</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Содержание</w:t>
      </w:r>
    </w:p>
    <w:p w:rsidR="00AB12CF" w:rsidRPr="00AB12CF" w:rsidRDefault="008D0E39"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t>3</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Микрочип</w:t>
      </w:r>
      <w:r w:rsidR="008D0E39">
        <w:rPr>
          <w:rFonts w:ascii="Times New Roman" w:hAnsi="Times New Roman" w:cs="Times New Roman"/>
          <w:sz w:val="28"/>
          <w:szCs w:val="28"/>
        </w:rPr>
        <w:t>ы на основе нуклеиновых кислот</w:t>
      </w:r>
      <w:r w:rsidR="008D0E39">
        <w:rPr>
          <w:rFonts w:ascii="Times New Roman" w:hAnsi="Times New Roman" w:cs="Times New Roman"/>
          <w:sz w:val="28"/>
          <w:szCs w:val="28"/>
        </w:rPr>
        <w:tab/>
        <w:t>5</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Методология транскри</w:t>
      </w:r>
      <w:r w:rsidR="008D0E39">
        <w:rPr>
          <w:rFonts w:ascii="Times New Roman" w:hAnsi="Times New Roman" w:cs="Times New Roman"/>
          <w:sz w:val="28"/>
          <w:szCs w:val="28"/>
        </w:rPr>
        <w:t>птомного анализа на микрочипах</w:t>
      </w:r>
      <w:r w:rsidR="008D0E39">
        <w:rPr>
          <w:rFonts w:ascii="Times New Roman" w:hAnsi="Times New Roman" w:cs="Times New Roman"/>
          <w:sz w:val="28"/>
          <w:szCs w:val="28"/>
        </w:rPr>
        <w:tab/>
        <w:t>8</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Анализ экспрессии г</w:t>
      </w:r>
      <w:r w:rsidR="008D0E39">
        <w:rPr>
          <w:rFonts w:ascii="Times New Roman" w:hAnsi="Times New Roman" w:cs="Times New Roman"/>
          <w:sz w:val="28"/>
          <w:szCs w:val="28"/>
        </w:rPr>
        <w:t>енов с помощью микрочипов</w:t>
      </w:r>
      <w:r w:rsidR="008D0E39">
        <w:rPr>
          <w:rFonts w:ascii="Times New Roman" w:hAnsi="Times New Roman" w:cs="Times New Roman"/>
          <w:sz w:val="28"/>
          <w:szCs w:val="28"/>
        </w:rPr>
        <w:tab/>
        <w:t>10</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Сиквенс/тэговы</w:t>
      </w:r>
      <w:r w:rsidR="008D0E39">
        <w:rPr>
          <w:rFonts w:ascii="Times New Roman" w:hAnsi="Times New Roman" w:cs="Times New Roman"/>
          <w:sz w:val="28"/>
          <w:szCs w:val="28"/>
        </w:rPr>
        <w:t>е инструменты транскриптомики</w:t>
      </w:r>
      <w:r w:rsidR="008D0E39">
        <w:rPr>
          <w:rFonts w:ascii="Times New Roman" w:hAnsi="Times New Roman" w:cs="Times New Roman"/>
          <w:sz w:val="28"/>
          <w:szCs w:val="28"/>
        </w:rPr>
        <w:tab/>
        <w:t>19</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Новые инструм</w:t>
      </w:r>
      <w:r w:rsidR="008D0E39">
        <w:rPr>
          <w:rFonts w:ascii="Times New Roman" w:hAnsi="Times New Roman" w:cs="Times New Roman"/>
          <w:sz w:val="28"/>
          <w:szCs w:val="28"/>
        </w:rPr>
        <w:t>енты транскриптомики: RNA-Seq</w:t>
      </w:r>
      <w:r w:rsidR="008D0E39">
        <w:rPr>
          <w:rFonts w:ascii="Times New Roman" w:hAnsi="Times New Roman" w:cs="Times New Roman"/>
          <w:sz w:val="28"/>
          <w:szCs w:val="28"/>
        </w:rPr>
        <w:tab/>
        <w:t>20</w:t>
      </w:r>
    </w:p>
    <w:p w:rsidR="00AB12CF" w:rsidRPr="00AB12CF" w:rsidRDefault="008D0E39" w:rsidP="006F4DA4">
      <w:pPr>
        <w:widowControl w:val="0"/>
        <w:tabs>
          <w:tab w:val="right" w:pos="9632"/>
        </w:tabs>
        <w:autoSpaceDE w:val="0"/>
        <w:autoSpaceDN w:val="0"/>
        <w:adjustRightInd w:val="0"/>
        <w:spacing w:line="312" w:lineRule="auto"/>
        <w:ind w:firstLine="1418"/>
        <w:rPr>
          <w:rFonts w:ascii="Times New Roman" w:hAnsi="Times New Roman" w:cs="Times New Roman"/>
          <w:sz w:val="28"/>
          <w:szCs w:val="28"/>
        </w:rPr>
      </w:pPr>
      <w:r>
        <w:rPr>
          <w:rFonts w:ascii="Times New Roman" w:hAnsi="Times New Roman" w:cs="Times New Roman"/>
          <w:sz w:val="28"/>
          <w:szCs w:val="28"/>
        </w:rPr>
        <w:t>Методические проблемы RNA-Seq</w:t>
      </w:r>
      <w:r>
        <w:rPr>
          <w:rFonts w:ascii="Times New Roman" w:hAnsi="Times New Roman" w:cs="Times New Roman"/>
          <w:sz w:val="28"/>
          <w:szCs w:val="28"/>
        </w:rPr>
        <w:tab/>
        <w:t>24</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Подготовка образ</w:t>
      </w:r>
      <w:r w:rsidR="008D0E39">
        <w:rPr>
          <w:rFonts w:ascii="Times New Roman" w:hAnsi="Times New Roman" w:cs="Times New Roman"/>
          <w:sz w:val="28"/>
          <w:szCs w:val="28"/>
        </w:rPr>
        <w:t>ца к транскриптомному анализу</w:t>
      </w:r>
      <w:r w:rsidR="008D0E39">
        <w:rPr>
          <w:rFonts w:ascii="Times New Roman" w:hAnsi="Times New Roman" w:cs="Times New Roman"/>
          <w:sz w:val="28"/>
          <w:szCs w:val="28"/>
        </w:rPr>
        <w:tab/>
        <w:t>25</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Статистическая и биоинформационная методология транск</w:t>
      </w:r>
      <w:r w:rsidR="008D0E39">
        <w:rPr>
          <w:rFonts w:ascii="Times New Roman" w:hAnsi="Times New Roman" w:cs="Times New Roman"/>
          <w:sz w:val="28"/>
          <w:szCs w:val="28"/>
        </w:rPr>
        <w:t>риптомики</w:t>
      </w:r>
      <w:r w:rsidR="008D0E39">
        <w:rPr>
          <w:rFonts w:ascii="Times New Roman" w:hAnsi="Times New Roman" w:cs="Times New Roman"/>
          <w:sz w:val="28"/>
          <w:szCs w:val="28"/>
        </w:rPr>
        <w:tab/>
        <w:t>28</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 xml:space="preserve">Первичная обработка данных </w:t>
      </w:r>
      <w:r w:rsidR="008D0E39">
        <w:rPr>
          <w:rFonts w:ascii="Times New Roman" w:hAnsi="Times New Roman" w:cs="Times New Roman"/>
          <w:sz w:val="28"/>
          <w:szCs w:val="28"/>
        </w:rPr>
        <w:t>транскриптомного эксперимента</w:t>
      </w:r>
      <w:r w:rsidR="008D0E39">
        <w:rPr>
          <w:rFonts w:ascii="Times New Roman" w:hAnsi="Times New Roman" w:cs="Times New Roman"/>
          <w:sz w:val="28"/>
          <w:szCs w:val="28"/>
        </w:rPr>
        <w:tab/>
        <w:t>30</w:t>
      </w:r>
    </w:p>
    <w:p w:rsidR="00AB12CF" w:rsidRPr="00AB12CF" w:rsidRDefault="00AB12CF" w:rsidP="006F4DA4">
      <w:pPr>
        <w:widowControl w:val="0"/>
        <w:tabs>
          <w:tab w:val="right" w:pos="9632"/>
        </w:tabs>
        <w:autoSpaceDE w:val="0"/>
        <w:autoSpaceDN w:val="0"/>
        <w:adjustRightInd w:val="0"/>
        <w:spacing w:line="312" w:lineRule="auto"/>
        <w:ind w:firstLine="1418"/>
        <w:rPr>
          <w:rFonts w:ascii="Times New Roman" w:hAnsi="Times New Roman" w:cs="Times New Roman"/>
          <w:sz w:val="28"/>
          <w:szCs w:val="28"/>
        </w:rPr>
      </w:pPr>
      <w:r w:rsidRPr="00AB12CF">
        <w:rPr>
          <w:rFonts w:ascii="Times New Roman" w:hAnsi="Times New Roman" w:cs="Times New Roman"/>
          <w:sz w:val="28"/>
          <w:szCs w:val="28"/>
        </w:rPr>
        <w:t>К</w:t>
      </w:r>
      <w:r w:rsidR="008D0E39">
        <w:rPr>
          <w:rFonts w:ascii="Times New Roman" w:hAnsi="Times New Roman" w:cs="Times New Roman"/>
          <w:sz w:val="28"/>
          <w:szCs w:val="28"/>
        </w:rPr>
        <w:t>онтроль качества эксперимента</w:t>
      </w:r>
      <w:r w:rsidR="008D0E39">
        <w:rPr>
          <w:rFonts w:ascii="Times New Roman" w:hAnsi="Times New Roman" w:cs="Times New Roman"/>
          <w:sz w:val="28"/>
          <w:szCs w:val="28"/>
        </w:rPr>
        <w:tab/>
        <w:t>31</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 xml:space="preserve">Статистические подходы к </w:t>
      </w:r>
      <w:r w:rsidR="008D0E39">
        <w:rPr>
          <w:rFonts w:ascii="Times New Roman" w:hAnsi="Times New Roman" w:cs="Times New Roman"/>
          <w:sz w:val="28"/>
          <w:szCs w:val="28"/>
        </w:rPr>
        <w:t>анализу экспрессионных данных</w:t>
      </w:r>
      <w:r w:rsidR="008D0E39">
        <w:rPr>
          <w:rFonts w:ascii="Times New Roman" w:hAnsi="Times New Roman" w:cs="Times New Roman"/>
          <w:sz w:val="28"/>
          <w:szCs w:val="28"/>
        </w:rPr>
        <w:tab/>
        <w:t>32</w:t>
      </w:r>
    </w:p>
    <w:p w:rsidR="00AB12CF" w:rsidRPr="00AB12CF" w:rsidRDefault="00AB12CF" w:rsidP="006F4DA4">
      <w:pPr>
        <w:widowControl w:val="0"/>
        <w:tabs>
          <w:tab w:val="right" w:pos="9632"/>
        </w:tabs>
        <w:autoSpaceDE w:val="0"/>
        <w:autoSpaceDN w:val="0"/>
        <w:adjustRightInd w:val="0"/>
        <w:spacing w:line="312" w:lineRule="auto"/>
        <w:ind w:firstLine="1418"/>
        <w:rPr>
          <w:rFonts w:ascii="Times New Roman" w:hAnsi="Times New Roman" w:cs="Times New Roman"/>
          <w:sz w:val="28"/>
          <w:szCs w:val="28"/>
        </w:rPr>
      </w:pPr>
      <w:r w:rsidRPr="00AB12CF">
        <w:rPr>
          <w:rFonts w:ascii="Times New Roman" w:hAnsi="Times New Roman" w:cs="Times New Roman"/>
          <w:sz w:val="28"/>
          <w:szCs w:val="28"/>
        </w:rPr>
        <w:t>Оценка качества обработки результатов (по</w:t>
      </w:r>
      <w:r w:rsidR="008D0E39">
        <w:rPr>
          <w:rFonts w:ascii="Times New Roman" w:hAnsi="Times New Roman" w:cs="Times New Roman"/>
          <w:sz w:val="28"/>
          <w:szCs w:val="28"/>
        </w:rPr>
        <w:t>ст-статистическая статистика)</w:t>
      </w:r>
      <w:r w:rsidR="008D0E39">
        <w:rPr>
          <w:rFonts w:ascii="Times New Roman" w:hAnsi="Times New Roman" w:cs="Times New Roman"/>
          <w:sz w:val="28"/>
          <w:szCs w:val="28"/>
        </w:rPr>
        <w:tab/>
        <w:t>34</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Подготовка данных к а</w:t>
      </w:r>
      <w:r w:rsidR="008D0E39">
        <w:rPr>
          <w:rFonts w:ascii="Times New Roman" w:hAnsi="Times New Roman" w:cs="Times New Roman"/>
          <w:sz w:val="28"/>
          <w:szCs w:val="28"/>
        </w:rPr>
        <w:t>нализу регуляторных паттернов</w:t>
      </w:r>
      <w:r w:rsidR="008D0E39">
        <w:rPr>
          <w:rFonts w:ascii="Times New Roman" w:hAnsi="Times New Roman" w:cs="Times New Roman"/>
          <w:sz w:val="28"/>
          <w:szCs w:val="28"/>
        </w:rPr>
        <w:tab/>
        <w:t>35</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Кластеризация как способ опред</w:t>
      </w:r>
      <w:r w:rsidR="008D0E39">
        <w:rPr>
          <w:rFonts w:ascii="Times New Roman" w:hAnsi="Times New Roman" w:cs="Times New Roman"/>
          <w:sz w:val="28"/>
          <w:szCs w:val="28"/>
        </w:rPr>
        <w:t>еления регуляторных паттернов</w:t>
      </w:r>
      <w:r w:rsidR="008D0E39">
        <w:rPr>
          <w:rFonts w:ascii="Times New Roman" w:hAnsi="Times New Roman" w:cs="Times New Roman"/>
          <w:sz w:val="28"/>
          <w:szCs w:val="28"/>
        </w:rPr>
        <w:tab/>
        <w:t>39</w:t>
      </w:r>
    </w:p>
    <w:p w:rsidR="00AB12CF" w:rsidRPr="00AB12CF" w:rsidRDefault="00AB12CF" w:rsidP="006F4DA4">
      <w:pPr>
        <w:widowControl w:val="0"/>
        <w:tabs>
          <w:tab w:val="right" w:pos="9632"/>
        </w:tabs>
        <w:autoSpaceDE w:val="0"/>
        <w:autoSpaceDN w:val="0"/>
        <w:adjustRightInd w:val="0"/>
        <w:spacing w:line="312" w:lineRule="auto"/>
        <w:ind w:firstLine="567"/>
        <w:rPr>
          <w:rFonts w:ascii="Times New Roman" w:hAnsi="Times New Roman" w:cs="Times New Roman"/>
          <w:sz w:val="28"/>
          <w:szCs w:val="28"/>
        </w:rPr>
      </w:pPr>
      <w:r w:rsidRPr="00AB12CF">
        <w:rPr>
          <w:rFonts w:ascii="Times New Roman" w:hAnsi="Times New Roman" w:cs="Times New Roman"/>
          <w:sz w:val="28"/>
          <w:szCs w:val="28"/>
        </w:rPr>
        <w:t>Транскриптомика - биоинформатике и геномике: картир</w:t>
      </w:r>
      <w:r w:rsidR="008D0E39">
        <w:rPr>
          <w:rFonts w:ascii="Times New Roman" w:hAnsi="Times New Roman" w:cs="Times New Roman"/>
          <w:sz w:val="28"/>
          <w:szCs w:val="28"/>
        </w:rPr>
        <w:t>ование генов и границ экзонов</w:t>
      </w:r>
      <w:r w:rsidR="008D0E39">
        <w:rPr>
          <w:rFonts w:ascii="Times New Roman" w:hAnsi="Times New Roman" w:cs="Times New Roman"/>
          <w:sz w:val="28"/>
          <w:szCs w:val="28"/>
        </w:rPr>
        <w:tab/>
        <w:t>43</w:t>
      </w:r>
    </w:p>
    <w:p w:rsidR="00AB12CF" w:rsidRPr="00AB12CF" w:rsidRDefault="008D0E39"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t>44</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 xml:space="preserve">Приложение 1. Рекомендуемые ресурсы для подготовки к проведению </w:t>
      </w:r>
      <w:r w:rsidR="008D0E39">
        <w:rPr>
          <w:rFonts w:ascii="Times New Roman" w:hAnsi="Times New Roman" w:cs="Times New Roman"/>
          <w:sz w:val="28"/>
          <w:szCs w:val="28"/>
        </w:rPr>
        <w:t>транскриптомного эксперимента</w:t>
      </w:r>
      <w:r w:rsidR="008D0E39">
        <w:rPr>
          <w:rFonts w:ascii="Times New Roman" w:hAnsi="Times New Roman" w:cs="Times New Roman"/>
          <w:sz w:val="28"/>
          <w:szCs w:val="28"/>
        </w:rPr>
        <w:tab/>
        <w:t>46</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Приложение 2. Стандартное лабораторное оборудова</w:t>
      </w:r>
      <w:r w:rsidR="008D0E39">
        <w:rPr>
          <w:rFonts w:ascii="Times New Roman" w:hAnsi="Times New Roman" w:cs="Times New Roman"/>
          <w:sz w:val="28"/>
          <w:szCs w:val="28"/>
        </w:rPr>
        <w:t>ние для целей транскриптомики</w:t>
      </w:r>
      <w:r w:rsidR="008D0E39">
        <w:rPr>
          <w:rFonts w:ascii="Times New Roman" w:hAnsi="Times New Roman" w:cs="Times New Roman"/>
          <w:sz w:val="28"/>
          <w:szCs w:val="28"/>
        </w:rPr>
        <w:tab/>
        <w:t>48</w:t>
      </w:r>
    </w:p>
    <w:p w:rsidR="00AB12CF" w:rsidRP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Приложение 3. Обозначения азотистых оснований для многозначной записи последовательностей, некоторых модификаций и синтетических азотист</w:t>
      </w:r>
      <w:r w:rsidR="008D0E39">
        <w:rPr>
          <w:rFonts w:ascii="Times New Roman" w:hAnsi="Times New Roman" w:cs="Times New Roman"/>
          <w:sz w:val="28"/>
          <w:szCs w:val="28"/>
        </w:rPr>
        <w:t>ых оснований</w:t>
      </w:r>
      <w:r w:rsidR="008D0E39">
        <w:rPr>
          <w:rFonts w:ascii="Times New Roman" w:hAnsi="Times New Roman" w:cs="Times New Roman"/>
          <w:sz w:val="28"/>
          <w:szCs w:val="28"/>
        </w:rPr>
        <w:tab/>
        <w:t>49</w:t>
      </w:r>
    </w:p>
    <w:p w:rsidR="00AB12CF" w:rsidRDefault="00AB12CF"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sidRPr="00AB12CF">
        <w:rPr>
          <w:rFonts w:ascii="Times New Roman" w:hAnsi="Times New Roman" w:cs="Times New Roman"/>
          <w:sz w:val="28"/>
          <w:szCs w:val="28"/>
        </w:rPr>
        <w:t>Спи</w:t>
      </w:r>
      <w:r w:rsidR="008D0E39">
        <w:rPr>
          <w:rFonts w:ascii="Times New Roman" w:hAnsi="Times New Roman" w:cs="Times New Roman"/>
          <w:sz w:val="28"/>
          <w:szCs w:val="28"/>
        </w:rPr>
        <w:t>сок использованных источников</w:t>
      </w:r>
      <w:r w:rsidR="008D0E39">
        <w:rPr>
          <w:rFonts w:ascii="Times New Roman" w:hAnsi="Times New Roman" w:cs="Times New Roman"/>
          <w:sz w:val="28"/>
          <w:szCs w:val="28"/>
        </w:rPr>
        <w:tab/>
        <w:t>50</w:t>
      </w:r>
    </w:p>
    <w:p w:rsidR="006F4DA4" w:rsidRPr="00AB12CF" w:rsidRDefault="006F4DA4" w:rsidP="006F4DA4">
      <w:pPr>
        <w:widowControl w:val="0"/>
        <w:tabs>
          <w:tab w:val="right" w:pos="9632"/>
        </w:tabs>
        <w:autoSpaceDE w:val="0"/>
        <w:autoSpaceDN w:val="0"/>
        <w:adjustRightInd w:val="0"/>
        <w:spacing w:line="312"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Тестовые задания                                                                                                        </w:t>
      </w:r>
      <w:r w:rsidR="008D0E39">
        <w:rPr>
          <w:rFonts w:ascii="Times New Roman" w:hAnsi="Times New Roman" w:cs="Times New Roman"/>
          <w:sz w:val="28"/>
          <w:szCs w:val="28"/>
        </w:rPr>
        <w:t>56</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Введение</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color w:val="FB0007"/>
          <w:sz w:val="28"/>
          <w:szCs w:val="28"/>
        </w:rPr>
      </w:pPr>
      <w:r w:rsidRPr="00AB12CF">
        <w:rPr>
          <w:rFonts w:ascii="Times New Roman" w:hAnsi="Times New Roman" w:cs="Times New Roman"/>
          <w:sz w:val="28"/>
          <w:szCs w:val="28"/>
        </w:rPr>
        <w:t xml:space="preserve">Транскриптом - это набор экспрессирующихся РНК у данного организма или определенного набора клеток при конкретных условиях [1, 2, 3]. Транскриптомика - это набор инструментов и подходов для глобального анализа экспрессии генов. Цель транскриптомики - определение, описание механизмов регуляции экспрессии генов [3]. </w:t>
      </w:r>
    </w:p>
    <w:p w:rsidR="00AB12CF" w:rsidRPr="00AB12CF" w:rsidRDefault="00AB12CF" w:rsidP="006F4DA4">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По завершении проекта ENCODE (the </w:t>
      </w:r>
      <w:r w:rsidRPr="00AB12CF">
        <w:rPr>
          <w:rFonts w:ascii="Times New Roman" w:hAnsi="Times New Roman" w:cs="Times New Roman"/>
          <w:b/>
          <w:bCs/>
          <w:sz w:val="28"/>
          <w:szCs w:val="28"/>
        </w:rPr>
        <w:t>Enc</w:t>
      </w:r>
      <w:r w:rsidRPr="00AB12CF">
        <w:rPr>
          <w:rFonts w:ascii="Times New Roman" w:hAnsi="Times New Roman" w:cs="Times New Roman"/>
          <w:sz w:val="28"/>
          <w:szCs w:val="28"/>
        </w:rPr>
        <w:t xml:space="preserve">yclopedia </w:t>
      </w:r>
      <w:r w:rsidRPr="00AB12CF">
        <w:rPr>
          <w:rFonts w:ascii="Times New Roman" w:hAnsi="Times New Roman" w:cs="Times New Roman"/>
          <w:b/>
          <w:bCs/>
          <w:sz w:val="28"/>
          <w:szCs w:val="28"/>
        </w:rPr>
        <w:t>O</w:t>
      </w:r>
      <w:r w:rsidRPr="00AB12CF">
        <w:rPr>
          <w:rFonts w:ascii="Times New Roman" w:hAnsi="Times New Roman" w:cs="Times New Roman"/>
          <w:sz w:val="28"/>
          <w:szCs w:val="28"/>
        </w:rPr>
        <w:t xml:space="preserve">f </w:t>
      </w:r>
      <w:r w:rsidRPr="00AB12CF">
        <w:rPr>
          <w:rFonts w:ascii="Times New Roman" w:hAnsi="Times New Roman" w:cs="Times New Roman"/>
          <w:b/>
          <w:bCs/>
          <w:sz w:val="28"/>
          <w:szCs w:val="28"/>
        </w:rPr>
        <w:t>D</w:t>
      </w:r>
      <w:r w:rsidRPr="00AB12CF">
        <w:rPr>
          <w:rFonts w:ascii="Times New Roman" w:hAnsi="Times New Roman" w:cs="Times New Roman"/>
          <w:sz w:val="28"/>
          <w:szCs w:val="28"/>
        </w:rPr>
        <w:t xml:space="preserve">NA </w:t>
      </w:r>
      <w:r w:rsidRPr="00AB12CF">
        <w:rPr>
          <w:rFonts w:ascii="Times New Roman" w:hAnsi="Times New Roman" w:cs="Times New Roman"/>
          <w:b/>
          <w:bCs/>
          <w:sz w:val="28"/>
          <w:szCs w:val="28"/>
        </w:rPr>
        <w:t>E</w:t>
      </w:r>
      <w:r w:rsidRPr="00AB12CF">
        <w:rPr>
          <w:rFonts w:ascii="Times New Roman" w:hAnsi="Times New Roman" w:cs="Times New Roman"/>
          <w:sz w:val="28"/>
          <w:szCs w:val="28"/>
        </w:rPr>
        <w:t>lements)</w:t>
      </w:r>
      <w:r w:rsidR="006F4DA4">
        <w:rPr>
          <w:rFonts w:ascii="Times New Roman" w:hAnsi="Times New Roman" w:cs="Times New Roman"/>
          <w:sz w:val="28"/>
          <w:szCs w:val="28"/>
        </w:rPr>
        <w:t xml:space="preserve"> </w:t>
      </w:r>
      <w:r w:rsidRPr="00AB12CF">
        <w:rPr>
          <w:rFonts w:ascii="Times New Roman" w:hAnsi="Times New Roman" w:cs="Times New Roman"/>
          <w:sz w:val="28"/>
          <w:szCs w:val="28"/>
        </w:rPr>
        <w:t xml:space="preserve">стало ясно, что большая часть генов транскрибируется не единственным образом. Сегодня ген понимается как часть генома, которая может рассматриваться как транскрипционная единица и которая может транскрибироваться в различные транскрипт-варианты, в том числе благодаря альтернативному сплайсингу [4]. В связи с этим к задачам транскриптомики относятся: выявление всех транскрипционных единиц, включая мРНК, некодирующие РНК и малые РНК; анализ транскрипционной структуры генов - сайтов инициации транскрипции, 5’- и 3’-концов генов; анализ паттернов сплайсинга и других посттранскрипционных модификаций [2]. Основная идея, позволяющая проводить такой анализ, заключается в том, что одновременно экспрессирующиеся или репрессированные гены могут быть совместно регулируемыми или функционально связанными [3]. </w:t>
      </w:r>
    </w:p>
    <w:p w:rsidR="00AB12CF" w:rsidRPr="00AB12CF" w:rsidRDefault="00AB12CF" w:rsidP="006F4DA4">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Технологии полногеномной транскриптомики могут быть подразделены на 2 ветви [2, 3]: </w:t>
      </w:r>
    </w:p>
    <w:p w:rsidR="00AB12CF" w:rsidRPr="00AB12CF" w:rsidRDefault="00AB12CF" w:rsidP="006F4DA4">
      <w:pPr>
        <w:widowControl w:val="0"/>
        <w:numPr>
          <w:ilvl w:val="0"/>
          <w:numId w:val="1"/>
        </w:numPr>
        <w:tabs>
          <w:tab w:val="left" w:pos="851"/>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left="0" w:firstLine="850"/>
        <w:rPr>
          <w:rFonts w:ascii="Times New Roman" w:hAnsi="Times New Roman" w:cs="Times New Roman"/>
          <w:sz w:val="28"/>
          <w:szCs w:val="28"/>
        </w:rPr>
      </w:pPr>
      <w:r w:rsidRPr="00AB12CF">
        <w:rPr>
          <w:rFonts w:ascii="Times New Roman" w:hAnsi="Times New Roman" w:cs="Times New Roman"/>
          <w:sz w:val="28"/>
          <w:szCs w:val="28"/>
        </w:rPr>
        <w:t>анализ на основе микрочипов, созданных на основе уже известных последовательностей;</w:t>
      </w:r>
    </w:p>
    <w:p w:rsidR="00AB12CF" w:rsidRPr="00AB12CF" w:rsidRDefault="00AB12CF" w:rsidP="006F4DA4">
      <w:pPr>
        <w:widowControl w:val="0"/>
        <w:numPr>
          <w:ilvl w:val="0"/>
          <w:numId w:val="1"/>
        </w:numPr>
        <w:tabs>
          <w:tab w:val="left" w:pos="851"/>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left="0" w:firstLine="850"/>
        <w:rPr>
          <w:rFonts w:ascii="Times New Roman" w:hAnsi="Times New Roman" w:cs="Times New Roman"/>
          <w:sz w:val="28"/>
          <w:szCs w:val="28"/>
        </w:rPr>
      </w:pPr>
      <w:r w:rsidRPr="00AB12CF">
        <w:rPr>
          <w:rFonts w:ascii="Times New Roman" w:hAnsi="Times New Roman" w:cs="Times New Roman"/>
          <w:sz w:val="28"/>
          <w:szCs w:val="28"/>
        </w:rPr>
        <w:t xml:space="preserve">сиквенсный подход, делающий возможным транскриптомный анализ, не требующий предположений относительно экспрессирующихся локусов. Важное место среди сиквенс-подходов занимает сегодня RNA-Seq. </w:t>
      </w:r>
    </w:p>
    <w:p w:rsidR="00AB12CF" w:rsidRPr="00AB12CF" w:rsidRDefault="00AB12CF" w:rsidP="006F4D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Сегодня благодаря появлению и совершенствованию методов </w:t>
      </w:r>
      <w:r w:rsidRPr="00AB12CF">
        <w:rPr>
          <w:rFonts w:ascii="Times New Roman" w:hAnsi="Times New Roman" w:cs="Times New Roman"/>
          <w:sz w:val="28"/>
          <w:szCs w:val="28"/>
        </w:rPr>
        <w:lastRenderedPageBreak/>
        <w:t xml:space="preserve">транскриптомики получен огромный массив данных о закономерностях контроля экспрессии генов в самых разных аспектах. Получена масштабная информация о влиянии различных факторов на активность генома, и сегодня такие данные доступны в базах NCBI Geo Profiles и Geo Datasets. Появляется все больше информации о тканеспецифичных уровнях экспрессии всех генов во всех тканях человека и других животных, ознакомиться с профилями экспрессии можно в базах GeneCards (только человек) и BioGPS (человек и животные).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В фундаментальном плане развитие техник транскриптомики позволяет лучше понять не только мир РНК и его особенности в клетках различных тканей и у разных организмов. Методы полного профилирования транскриптома позволили выявить (на сегодняшний день) у человека 70 000 РНК, не кодирующих белок, а также качественное разнообразие транскрипции 21 000 белок-кодирующих генов (GeneCards). В свете достижений транскриптомики меняется и трактовка понятия “псевдоген”. Вся эта информация оказывается чрезвычайно важной для понимания молекулярной биологии клетки, так как именно на основе выявления методами транскриптомики “читаемых” участков ДНК делается вывод о закономерностях регуляции работы генома.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Транскриптомика - это также инструмент прикладных исследований. Например, в области биомедицины данные о закономерностях экспрессии генов используются для выявления нарушений течения клеточных процессов при патологиях. В последнее десятилетие транскриптомика широко применялась для изучения молекулярных основ развития огромного количества заболеваний, и транскриптомика оказывается эффективной для изучения групп патологий, для которых характерна высокая этиологическая гетерогенность при сходстве фенотипической манифестации.</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lastRenderedPageBreak/>
        <w:t xml:space="preserve">Большинство исследований, о которых идет речь, проводилось с помощью наиболее удачной и эффективной до недавнего времени техники - анализа на микрочипах. Достижения технологий последних лет открывают новые горизонты транскриптомики, и в основном это связано с развитием второй ветви технологий транскриптомики - секвенирования [2, 4].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Микрочипы на основе нуклеиновых кислот</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Нуклеиновокислотные чипы представляют собой классический пример технологии, в которой увеличение масштабов работы приводит к качественным изменениям полезности этого метода. Чипы с нуклеиновыми кислотами на нитроцеллюлозе применялись многие годы (если учитывать точечные и ячеечные варианты блоттинга, используемые для оценки экспрессии генов с конца 70-х годов ХХ века). В последние годы чипы с нуклеиновыми кислотами перешли к ныне обычному «геномному» виду, для которого справедливо, при пересечении некоей границы (когда количество генов на чипе начинает представлять значительную часть генов генома, или представлен определенный набор важных генов), уже нелинейное повышение экспериментальной ценности чипа [5].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Гибридизационные подходы, как правило, связаны с инкубированием флуоресцентно меченых кДНК или антисэнс-РНК с собственными исследовательскими нуклеиновокислотными микрочипами или коммерческими высокоплотными олигонуклеотидными чипами (рисунок 1) [2, 4].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lastRenderedPageBreak/>
        <w:drawing>
          <wp:inline distT="0" distB="0" distL="0" distR="0">
            <wp:extent cx="6121400" cy="6870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1400" cy="6870700"/>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Рисунок 1 - Двуцветный (слева) и одноцветный (справа) варианты анализа транскриптома на микрочипах [4]. IVT (транскрипция in vitro) не является строго обязательным этапом анализа.</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lastRenderedPageBreak/>
        <w:t xml:space="preserve">Технологией чипов с нуклеиновыми кислотами называется производство и использование чипов, содержащих тысячи образцов нуклеиновых кислот, связанных с твердым субстратом, например, предметными стеклами для микроскопии или тонкослойными силиконовыми носителями. В последние годы появился новый формат чипов, называемых жидкостными, однако твердый субстрат в них присутствует - в виде микрошариков (bead).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Так как физическая площадь, занимаемая каждым образцом, составляет от 50 до 200 мкм в диаметре (на нежидкостных чипах), то чипы нуклеиновых кислот, представляющие целые геномы, варьирующие в размере от 3000 до 32000 генов, могут быть эффективно расположены на одном обычном предметном стекле для микроскопии на площади, легко закрываемой покровным стеклом [5].</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Для специальных задач транскриптомики существуют такие чипы, как, например, чипы с олигонуклеотидыми зондами, комплементарными сайтам сшивки экзонов, позволяющие анализировать сплайс-варианты РНК [2, 4].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Экзоновые чипы разработаны для идентификации известных или предсказанных экзонов. Экзоновые чипы - это модификация обычных чипов для экспрессионного анализа, отличающиеся расположением и количеством зондов на экзоны. При этом с помощью экзонных чипов можно анализировать не только сплайсинг, но и общую экспрессию генов [4].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Высокоплотные геномные чипы (tiling arrays) позволяют картировать транскрибируемые локусы с очень высоким разрешением - от сотен пар нуклеотидов и до всего нескольких пар нуклеотидов [2]. Отличием высокоплотных геномных чипов от стандартных экспрессионных чипов является то, что на высокоплотный чип наносятся зонды, комплементарные геномным областям на заданном расстоянии [4].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Гибридизационные подходы транскриптомики сравнительно дешевы </w:t>
      </w:r>
      <w:r w:rsidRPr="00AB12CF">
        <w:rPr>
          <w:rFonts w:ascii="Times New Roman" w:hAnsi="Times New Roman" w:cs="Times New Roman"/>
          <w:sz w:val="28"/>
          <w:szCs w:val="28"/>
        </w:rPr>
        <w:lastRenderedPageBreak/>
        <w:t xml:space="preserve">(кроме высокоплотных геномных техник) и позволяют вести крупномасштабные по количеству образцов исследования. К недостаткам гибридизационных технологий относятся необходимость априорного знания анализируемых последовательностей генома, высокий уровень фонового шума из-за кросс-гибридизации и ограниченный динамический спектр детекции сигнала - из-за фона с одной стороны и насыщения спотов (зон нанесения зондов на матрицу чипа) - с другой. Неустранимая техническая особенность анализа на чипах - использование мечения молекул флуорохромами - осложняет анализ и даже в одноцветном варианте делает определение экспрессии непрямым.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Методология транскриптомного анализа на микрочипах</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Среди гибридизационных подходов транскриптомики наиболее распространены 2 типа: одноцветный и двуцветный микрочиповые эксперименты.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Двуцветный вариант был разработан в середине 90-х годов XX века. Принцип метода заключается в конкурентной гибридизации двух образцов, помеченных разными флуорохромами. После гибридизации чип сканируется с помощью лазера с излучением соответствующей длины волны. Флуоресценция по обоим каналам отражает относительное количество РНК данного вида в обоих образцах, и после коррекции сканированных данных можно получить соотношение экспрессий генов двух образцов. Традиционно высокое качество чипов для транскриптомики характерно для NimbleGen (сейчас компания принадлежит Roche) [5, 6, 7].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В случае одноцветного метода РНК-образец метится флуоресцентной краской</w:t>
      </w:r>
      <w:r w:rsidR="00F473AA">
        <w:rPr>
          <w:rFonts w:ascii="Times New Roman" w:hAnsi="Times New Roman" w:cs="Times New Roman"/>
          <w:sz w:val="28"/>
          <w:szCs w:val="28"/>
        </w:rPr>
        <w:t xml:space="preserve"> или биотином</w:t>
      </w:r>
      <w:r w:rsidRPr="00AB12CF">
        <w:rPr>
          <w:rFonts w:ascii="Times New Roman" w:hAnsi="Times New Roman" w:cs="Times New Roman"/>
          <w:sz w:val="28"/>
          <w:szCs w:val="28"/>
        </w:rPr>
        <w:t xml:space="preserve"> и гибридизуется на один чип с миллионами копий коротких (24 нт) олигонуклеотидных зондов, охватывающих выбранный </w:t>
      </w:r>
      <w:r w:rsidRPr="00AB12CF">
        <w:rPr>
          <w:rFonts w:ascii="Times New Roman" w:hAnsi="Times New Roman" w:cs="Times New Roman"/>
          <w:sz w:val="28"/>
          <w:szCs w:val="28"/>
        </w:rPr>
        <w:lastRenderedPageBreak/>
        <w:t xml:space="preserve">исследователем (индивидуальный дизайн чипов может быть заказан NimbleGen/Roche; остальные авторитетные производители предлагают лишь выбор чипов по ширине охвата генома) набор генов (на каждый ген - по нескольку высококопийных зондов). После сканирования образца лазером получаются данные об абсолютном уровне экспрессии. Одними из наиболее популярных производителей одноцветных чипов являются Affymetrix и Illumina [8, 9]. </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Основные экспериментальные стадии анализа экспрессии на микрочипах:</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Дизайн и печать или покупка чипов</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Подготовка РНК к мечению</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Обратная транскрипция (с мечением)</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 xml:space="preserve">Транскрипция in vitro или ПЦР (с мечением) (опционально) </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Гибридизация на чипе</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Отмывка</w:t>
      </w:r>
    </w:p>
    <w:p w:rsidR="00AB12CF" w:rsidRPr="009E48D0" w:rsidRDefault="00AB12CF" w:rsidP="009E48D0">
      <w:pPr>
        <w:pStyle w:val="a5"/>
        <w:widowControl w:val="0"/>
        <w:numPr>
          <w:ilvl w:val="0"/>
          <w:numId w:val="12"/>
        </w:numPr>
        <w:tabs>
          <w:tab w:val="left" w:pos="851"/>
          <w:tab w:val="left" w:pos="1031"/>
        </w:tabs>
        <w:autoSpaceDE w:val="0"/>
        <w:autoSpaceDN w:val="0"/>
        <w:adjustRightInd w:val="0"/>
        <w:rPr>
          <w:rFonts w:ascii="Times New Roman" w:hAnsi="Times New Roman" w:cs="Times New Roman"/>
          <w:position w:val="-2"/>
          <w:sz w:val="28"/>
          <w:szCs w:val="28"/>
        </w:rPr>
      </w:pPr>
      <w:r w:rsidRPr="009E48D0">
        <w:rPr>
          <w:rFonts w:ascii="Times New Roman" w:hAnsi="Times New Roman" w:cs="Times New Roman"/>
          <w:sz w:val="28"/>
          <w:szCs w:val="28"/>
        </w:rPr>
        <w:t>Сканирование</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Наиболее подходящий протокол проведения каждой из стадий подбирается в зависимости от целей и задач исследования, используемых образцов и материального оснащения лаборатории. В общем виде с протоколами проведения реакций можно ознакомиться в книге-сборнике протоколов Current Protocols in Molecular Biology [5]. Описанные там общие протоколы работы могут и должны быть модифицированы в соответствии с проводимым исследованием и достижениями технологий (в т.ч. совершенствования ферментов), не успевших найти отражение в этом (обновляемом) сборнике. Некоторые главы Current Protocols in Molecular Biology (и других сборников серии Current Protocols) могут быть найдены в </w:t>
      </w:r>
      <w:r w:rsidRPr="00AB12CF">
        <w:rPr>
          <w:rFonts w:ascii="Times New Roman" w:hAnsi="Times New Roman" w:cs="Times New Roman"/>
          <w:sz w:val="28"/>
          <w:szCs w:val="28"/>
        </w:rPr>
        <w:lastRenderedPageBreak/>
        <w:t>свободном доступе в NCBI PubMed и PMC (остальные главы доступны через подписку, но также индексируются в PubMed).</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F7003"/>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Анализ экспрессии генов с помощью микрочипов</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 xml:space="preserve">Дизайн и печать или покупка чипов. </w:t>
      </w:r>
      <w:r w:rsidRPr="00AB12CF">
        <w:rPr>
          <w:rFonts w:ascii="Times New Roman" w:hAnsi="Times New Roman" w:cs="Times New Roman"/>
          <w:sz w:val="28"/>
          <w:szCs w:val="28"/>
        </w:rPr>
        <w:t xml:space="preserve">Первоначальный выбор типа чипа - коммерческий или внутрилабораторный - зависит от возможностей и задач лаборатории, и в каждом случае у чипов есть свои преимущества и недостатки.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Коммерческие чипы дешевы относительно количества анализируемых генов, количества нанесенных на чип зондов на отдельные участки гена; они проходят очень строгий контроль качества и, что немаловажно, приходят к покупателю в идеально чистом виде.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К недостаткам коммерческих чиповых технологий можно отнести общую дороговизну технологии и наметившуюся тенденцию к диверсификации формата чипов (и появлению жидкостных чипов), а это влечет за собой либо повышенные расходы на закупку оборудования разных производителей для одной цели, либо привязку к единственному производителю чипов. К общим недостаткам высокоплотных чипов можно отнести чрезвычайно ресурсоемкий этап математической и статистической обработки данных, а также зависимость от проприетарного программного обеспечения. Огромные объемы информации, генерируемой в эксперименте с высокоплотными чипами, требуют наличия в лаборатории мощных компьютеров (от 16 ГБ оперативной памяти), покупки ПО или использования свободного статистического ПО для анализа чипов, у которого, на настоящий момент, пользовательский интерфейс таков, что необходимо дополнительное обучение специальным языкам программирования (программные пакеты для обработки данных обсуждаются в соответствующем разделе).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Внутрилабораторные чипы имеют неоспоримое преимущество в </w:t>
      </w:r>
      <w:r w:rsidRPr="00AB12CF">
        <w:rPr>
          <w:rFonts w:ascii="Times New Roman" w:hAnsi="Times New Roman" w:cs="Times New Roman"/>
          <w:sz w:val="28"/>
          <w:szCs w:val="28"/>
        </w:rPr>
        <w:lastRenderedPageBreak/>
        <w:t xml:space="preserve">обязательном индивидуальном дизайне зондов (однако это трудоемкий процесс) и чипа. Дизайн зондов также может быть позаимствован из открытых источников - баз NCBI GEO. Для собственной разработки зондов рекомендуется кросс-платформенная среда Oligo 7 или более старших версий. Стоимость собственного чипа гораздо ниже, чем у коммерческого. Для небольших лабораторий может иметь значение и то, что собственные чипы могут печататься на любом удобном носителе - микроскопном предметном стекле или мембране, и на каждом стекле можно печатать от одной до нескольких десятков чип-реплик. Чип-принтеры, как правило, имеют очень широкий спектр применения и позволяют не только печатать нуклеиновокислотные, но и белковые чипы, мембраны и планшеты.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В то же время внутрилабораторные чипы всегда низко- или средне-плотные, и чем выше плотность - тем выше проблема контроля качества и качества вообще. Низкоплотные чипы могут быть использованы для печати не более, чем 200 зонд-спотов в десятикратном повторении, что несравнимо с коммерческими высокоплотными чипами (40 и больше тысяч спотов). При этом стандартные требования дизайна чипов (базовая (не соль-доведенная) температура плавления зонда 75 градусов (удобный инструмент расчета - OligoCalc); температура гибридизации 65 градусов) могут представлять для исследователя серьезную проблему, несвойственную коммерческим чипам (где на каждый ген может приходиться по 10 разных зондов, а значит вычисление “истинной” экспрессии гена не представляет методологических трудностей). Каждый из этапов печати и хранения чипов сопровождается опасностью загрязнения чипа пылью, что является критическим для проведения анализа. Общее качество печати чипа, а также трудоемкость и цена зондов очень сильно зависят от выбранного субстрата.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В продаже имеется широкий спектр стекол с модификациями для печати </w:t>
      </w:r>
      <w:r w:rsidRPr="00AB12CF">
        <w:rPr>
          <w:rFonts w:ascii="Times New Roman" w:hAnsi="Times New Roman" w:cs="Times New Roman"/>
          <w:sz w:val="28"/>
          <w:szCs w:val="28"/>
        </w:rPr>
        <w:lastRenderedPageBreak/>
        <w:t>чипов (рекомендуемый производитель стекла для чиповых технологий – Corning [10]: аминосилановые, эпоксидные, полилизиновые и др. Наиболее удобными для печати чипов выглядят эпоксидные стекла, так как они не требуют введения в зонды модификаций или кросслинкинга (в отличи</w:t>
      </w:r>
      <w:r w:rsidR="00C2003E">
        <w:rPr>
          <w:rFonts w:ascii="Times New Roman" w:hAnsi="Times New Roman" w:cs="Times New Roman"/>
          <w:sz w:val="28"/>
          <w:szCs w:val="28"/>
        </w:rPr>
        <w:t>и</w:t>
      </w:r>
      <w:r w:rsidRPr="00AB12CF">
        <w:rPr>
          <w:rFonts w:ascii="Times New Roman" w:hAnsi="Times New Roman" w:cs="Times New Roman"/>
          <w:sz w:val="28"/>
          <w:szCs w:val="28"/>
        </w:rPr>
        <w:t xml:space="preserve"> от аминосилановых и полилизиновых). С другой стороны, полилизиновые стекла могут быть относительно легко произведены в лаборатории.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8"/>
          <w:szCs w:val="28"/>
        </w:rPr>
      </w:pPr>
      <w:r w:rsidRPr="00AB12CF">
        <w:rPr>
          <w:rFonts w:ascii="Times New Roman" w:hAnsi="Times New Roman" w:cs="Times New Roman"/>
          <w:sz w:val="28"/>
          <w:szCs w:val="28"/>
        </w:rPr>
        <w:t>В общем случае для печати чипа (на основе авторского анализа протоколов из Current Protocols in Molecular Biology и от Corning) необходимы SSC, двузамещенный фосфат натрия, газообразный азот высокой очистки, стекла-субстрат (например - Corning® epoxide coated slides), реагенты для приготовления фосфатно-солевого буфера, Tween 20, этанол, деионизованная вода, соли для контроля влажности (если контроль влажности не поддерживается принтером), планшеты для зондов, зонды и контейнеры для безопасного хранения чипов. Рекомендуется использовать (на данном и других этапах работы) реагенты производства Sigma Aldrich [11], если не указывается другой производитель.</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Подготовка РНК к мечению.</w:t>
      </w:r>
      <w:r w:rsidRPr="00AB12CF">
        <w:rPr>
          <w:rFonts w:ascii="Times New Roman" w:hAnsi="Times New Roman" w:cs="Times New Roman"/>
          <w:sz w:val="28"/>
          <w:szCs w:val="28"/>
        </w:rPr>
        <w:t xml:space="preserve"> В зависимости от целей исследования, исходного количества РНК и доступности расходных материалов, можно провести обогащение фракции поли-(А)-РНК колоночным методом (рекомендуемый производитель - Qiagen; например, могут быть использованы колоночные киты Oligotex mRNA). Оценить примерный выход тотальной и матричной (как правило, мРНК составляет 1-5% от тотальной) РНК можно по таблице 1 (по данным MACS Molecular/Miltenyi Biotec[12]: </w:t>
      </w:r>
    </w:p>
    <w:p w:rsidR="00C2003E" w:rsidRPr="00AB12CF" w:rsidRDefault="00C2003E" w:rsidP="00C20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По данным Qiagen [13], выход тотальной РНК из цельной крови составляет 1.2</w:t>
      </w:r>
      <w:r>
        <w:rPr>
          <w:rFonts w:ascii="Times New Roman" w:hAnsi="Times New Roman" w:cs="Times New Roman"/>
          <w:sz w:val="28"/>
          <w:szCs w:val="28"/>
        </w:rPr>
        <w:t xml:space="preserve"> </w:t>
      </w:r>
      <w:r w:rsidRPr="00AB12CF">
        <w:rPr>
          <w:rFonts w:ascii="Times New Roman" w:hAnsi="Times New Roman" w:cs="Times New Roman"/>
          <w:sz w:val="28"/>
          <w:szCs w:val="28"/>
        </w:rPr>
        <w:t>-</w:t>
      </w:r>
      <w:r>
        <w:rPr>
          <w:rFonts w:ascii="Times New Roman" w:hAnsi="Times New Roman" w:cs="Times New Roman"/>
          <w:sz w:val="28"/>
          <w:szCs w:val="28"/>
        </w:rPr>
        <w:t xml:space="preserve"> </w:t>
      </w:r>
      <w:r w:rsidRPr="00AB12CF">
        <w:rPr>
          <w:rFonts w:ascii="Times New Roman" w:hAnsi="Times New Roman" w:cs="Times New Roman"/>
          <w:sz w:val="28"/>
          <w:szCs w:val="28"/>
        </w:rPr>
        <w:t>8 мкг/мл.</w:t>
      </w:r>
    </w:p>
    <w:p w:rsidR="00C2003E" w:rsidRDefault="00C2003E"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C2003E" w:rsidRDefault="00C2003E"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lastRenderedPageBreak/>
        <w:t>Таблица 1 - примерный средний выход тотальной и матричной РНК из различных клеток и тканей</w:t>
      </w:r>
    </w:p>
    <w:p w:rsidR="00AB12CF" w:rsidRPr="00AB12CF" w:rsidRDefault="00C2003E"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Pr>
          <w:rFonts w:ascii="Helvetica" w:hAnsi="Helvetica" w:cs="Helvetica"/>
          <w:noProof/>
          <w:kern w:val="1"/>
          <w:lang w:eastAsia="ru-RU"/>
        </w:rPr>
        <w:drawing>
          <wp:anchor distT="0" distB="0" distL="114300" distR="114300" simplePos="0" relativeHeight="251658240" behindDoc="0" locked="0" layoutInCell="1" allowOverlap="1">
            <wp:simplePos x="0" y="0"/>
            <wp:positionH relativeFrom="margin">
              <wp:align>left</wp:align>
            </wp:positionH>
            <wp:positionV relativeFrom="margin">
              <wp:posOffset>680720</wp:posOffset>
            </wp:positionV>
            <wp:extent cx="3181350" cy="35433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1350" cy="3543300"/>
                    </a:xfrm>
                    <a:prstGeom prst="rect">
                      <a:avLst/>
                    </a:prstGeom>
                    <a:noFill/>
                    <a:ln>
                      <a:noFill/>
                    </a:ln>
                  </pic:spPr>
                </pic:pic>
              </a:graphicData>
            </a:graphic>
          </wp:anchor>
        </w:drawing>
      </w:r>
      <w:r w:rsidR="00AB12CF" w:rsidRPr="00AB12CF">
        <w:rPr>
          <w:rFonts w:ascii="Helvetica" w:hAnsi="Helvetica" w:cs="Helvetica"/>
          <w:noProof/>
          <w:kern w:val="1"/>
          <w:lang w:eastAsia="ru-RU"/>
        </w:rPr>
        <w:drawing>
          <wp:inline distT="0" distB="0" distL="0" distR="0">
            <wp:extent cx="2990850" cy="427460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94556" cy="4279900"/>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Обогащение фракции мРНК перед обратной транскрипции (ОТ) необязательно, а в случае работы с белок-кодирующими генами, для которых нехарактерны поли-(А), или малыми/некодирующими РНК, эта стадия должна быть пропущена.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Как альтернатива колоночной очистке существует способ снижения вовлечения рРНК в реакцию ОТ путем повышения температуры обратной транскрипции с 37-40 градусов до 50</w:t>
      </w:r>
      <w:r w:rsidR="005E5710">
        <w:rPr>
          <w:rFonts w:ascii="Times New Roman" w:hAnsi="Times New Roman" w:cs="Times New Roman"/>
          <w:sz w:val="28"/>
          <w:szCs w:val="28"/>
          <w:vertAlign w:val="superscript"/>
        </w:rPr>
        <w:t>о</w:t>
      </w:r>
      <w:r w:rsidR="005E5710">
        <w:rPr>
          <w:rFonts w:ascii="Times New Roman" w:hAnsi="Times New Roman" w:cs="Times New Roman"/>
          <w:sz w:val="28"/>
          <w:szCs w:val="28"/>
        </w:rPr>
        <w:t xml:space="preserve">С </w:t>
      </w:r>
      <w:r w:rsidRPr="00AB12CF">
        <w:rPr>
          <w:rFonts w:ascii="Times New Roman" w:hAnsi="Times New Roman" w:cs="Times New Roman"/>
          <w:sz w:val="28"/>
          <w:szCs w:val="28"/>
        </w:rPr>
        <w:t xml:space="preserve">, при этом выход кДНК снижается (эта проблема частично решается выбором более устойчивой ревертазы, см. следующий раздел).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Еще одна альтернатива для обогащения кДНК-производной мРНК - уже </w:t>
      </w:r>
      <w:r w:rsidRPr="00AB12CF">
        <w:rPr>
          <w:rFonts w:ascii="Times New Roman" w:hAnsi="Times New Roman" w:cs="Times New Roman"/>
          <w:sz w:val="28"/>
          <w:szCs w:val="28"/>
        </w:rPr>
        <w:lastRenderedPageBreak/>
        <w:t xml:space="preserve">на стадии ОТ - использование олиго(дТ)-праймеров. В случае использования при ОТ олиго(дТ)-праймеров, следует убедиться, что зонды микрочипов попадают в 600 последних нуклеотидов кодирующей последовательности, если только 3’-НТО не включает более 800 нуклеотидов - в таком случае часть 3’-НТО также может быть включена в область подбора зондов [5].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 xml:space="preserve">Обратная транскрипция. </w:t>
      </w:r>
      <w:r w:rsidRPr="00AB12CF">
        <w:rPr>
          <w:rFonts w:ascii="Times New Roman" w:hAnsi="Times New Roman" w:cs="Times New Roman"/>
          <w:sz w:val="28"/>
          <w:szCs w:val="28"/>
        </w:rPr>
        <w:t>При обратной транскрипции могут использоваться разные праймеры - случайные гексамеры (в микрочиповых технологиях рекомендуется использовать random</w:t>
      </w:r>
      <w:r w:rsidR="005E5710">
        <w:rPr>
          <w:rFonts w:ascii="Times New Roman" w:hAnsi="Times New Roman" w:cs="Times New Roman"/>
          <w:sz w:val="28"/>
          <w:szCs w:val="28"/>
        </w:rPr>
        <w:t xml:space="preserve"> </w:t>
      </w:r>
      <w:r w:rsidRPr="00AB12CF">
        <w:rPr>
          <w:rFonts w:ascii="Times New Roman" w:hAnsi="Times New Roman" w:cs="Times New Roman"/>
          <w:sz w:val="28"/>
          <w:szCs w:val="28"/>
        </w:rPr>
        <w:t>6 только если для ОТ подготовлена очищенная мРНК), поли-(дТ), заякоренные поли-(дТ) (отжигаются на 5’-конец поли-(А) хвоста благодаря наличию на 3’-конце dVdN-димера). При непосредственном мечении кДНК могут быть использованы как флуоресцентные (или аминоаллильные для последующей конъюгации с флуорохромами) модификации нуклеотидов, так и меченые случайные n-меры. В качестве флуорохромов очень часто используют цианиновые красители Cy (Cy3 и Cy5; патент принадлежит GE Healthcare [14], по праву преемственности от Amersham), а в последнее время все чаще в микрочиповых технологиях находят применение более дешевые красители Alexa (производство - Life Technologies - компания, образовавшаяся в результате слияния Applied Biosystems и Invitrogen</w:t>
      </w:r>
      <w:r w:rsidR="005E5710">
        <w:rPr>
          <w:rFonts w:ascii="Times New Roman" w:hAnsi="Times New Roman" w:cs="Times New Roman"/>
          <w:sz w:val="28"/>
          <w:szCs w:val="28"/>
        </w:rPr>
        <w:t>)</w:t>
      </w:r>
      <w:r w:rsidRPr="00AB12CF">
        <w:rPr>
          <w:rFonts w:ascii="Times New Roman" w:hAnsi="Times New Roman" w:cs="Times New Roman"/>
          <w:sz w:val="28"/>
          <w:szCs w:val="28"/>
        </w:rPr>
        <w:t xml:space="preserve"> [15]. Нужно помнить, что флуорохромы нестабильны, и, например, краски Cy3 и Cy5 чувствительны не только к свету, но и к концентрации озона в атмосфере (необходим контроль атмосферы - содержание озона не должно превышать 1:50000000 (20 ppb)) и влажности (влажность должна быть ниже 40%).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Выбор модифицируемого нуклеотида (dCTP, dTTP/dUTP, dGTP, dATP) и модификации зависят во многом от используемого в реакции фермента - обратной транскриптазы. Рекомендуемые к использованию ферменты семейства SuperScript (I, II, III) являются модификациями ревертазы M-MLV, </w:t>
      </w:r>
      <w:r w:rsidRPr="00AB12CF">
        <w:rPr>
          <w:rFonts w:ascii="Times New Roman" w:hAnsi="Times New Roman" w:cs="Times New Roman"/>
          <w:sz w:val="28"/>
          <w:szCs w:val="28"/>
        </w:rPr>
        <w:lastRenderedPageBreak/>
        <w:t xml:space="preserve">разрабатываемыми бывшей Invitrogen (сейчас - часть Life Technologies). С характеристиками ферментов можно ознакомиться на сайте производителя [15] и на рисунке 2.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5486400" cy="24814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513" cy="2481451"/>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5486400" cy="248140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481401"/>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Рисунок 2 - Зависимость активности обратных транскриптаз Invitrogen и M-MLV от температуры и времени инкубации [15]</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Частота инкорпорации (включения нуклеотида в синтезируемую цепь) определяющая способ приготовления реакционной смеси для ОТ, должна учитываться при разработке протокола эксперимента, так как даже модифицированные родственными красителями Cy3 и Cy5 нуклеотиды имеют заметно отличающиеся частоты инкорпорации. Оценить параметры </w:t>
      </w:r>
      <w:r w:rsidRPr="00AB12CF">
        <w:rPr>
          <w:rFonts w:ascii="Times New Roman" w:hAnsi="Times New Roman" w:cs="Times New Roman"/>
          <w:sz w:val="28"/>
          <w:szCs w:val="28"/>
        </w:rPr>
        <w:lastRenderedPageBreak/>
        <w:t xml:space="preserve">инкорпорации различных нуклеотидов можно по запросу производителю. Например, данные Jena Biosciense [16] по различным модификациям dUTP приведены на рисунке 3.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6315075" cy="34004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15075" cy="3400425"/>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3 - Частоты инкорпорации различных модификаций dUTP различными ферментами.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При использовании для микрочиповых целей ревертазы SuperScript III (Life Technologies) совместно с Alexa Fluor 555-aha-dUTP и Alexa Fluor 647-aha-dUTP необходимо 5 - 20 мкг тотальной РНК или 0.4 - 2 мкг мРНК; могут быть использованы и меньшие количества, но это может негативно сказаться на последующих стадиях работы и анализа.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После проведения ОТ с флуоресцентными модификациями нуклеотидов, необходимо удалить из смеси неизрасходованные нуклеотиды. Очистка меченой кДНК проводится колоночным методом с использованием картриджей Microcon YM-100, аналогов, или специальных коммерческих систем очистки (Qiagen, Life Technologies).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lastRenderedPageBreak/>
        <w:t>Согласно обобщенному протоколу, для мечения кДНК необходимы смеси нуклеотидтрифосфатов с пониженной концентрацией нуклеотида, по которому будет вестись мечение флуоресцентными аналогами; ингибитор РНКаз (доступен широкий выбор ингибиторов), ревертаза, дитиотреитол, ТРИС, гидроксид натрия, ЭДТА, блокирующая С</w:t>
      </w:r>
      <w:r w:rsidRPr="00AB12CF">
        <w:rPr>
          <w:rFonts w:ascii="Times New Roman" w:hAnsi="Times New Roman" w:cs="Times New Roman"/>
          <w:sz w:val="18"/>
          <w:szCs w:val="18"/>
          <w:vertAlign w:val="subscript"/>
        </w:rPr>
        <w:t>0</w:t>
      </w:r>
      <w:r w:rsidRPr="00AB12CF">
        <w:rPr>
          <w:rFonts w:ascii="Times New Roman" w:hAnsi="Times New Roman" w:cs="Times New Roman"/>
          <w:sz w:val="28"/>
          <w:szCs w:val="28"/>
        </w:rPr>
        <w:t xml:space="preserve">t-ДНК человека, агарозный гель (для проверки инкорпорации и хода ОТ), ТАЕ-буфер.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 xml:space="preserve">Транскрипция in vitro или ПЦР. </w:t>
      </w:r>
      <w:r w:rsidRPr="00AB12CF">
        <w:rPr>
          <w:rFonts w:ascii="Times New Roman" w:hAnsi="Times New Roman" w:cs="Times New Roman"/>
          <w:sz w:val="28"/>
          <w:szCs w:val="28"/>
        </w:rPr>
        <w:t xml:space="preserve">В целях амплификации сигнала возможно проведение процедур in vitro-транскрипции (IVT) и ПЦР. IVT представляет собой метод количественной амплификации мРНК с получением антисенс-РНК. РНК образца реверс-транскрибируется с использованием праймера T7T24, т.е. праймера с сайтом связывания РНК-полимеразы T7 на 5’-конце и 24-(дТ) участком на 3’-конце. В таком случае в реакции гибридизации участвует меченая амплифицированная РНК, но всегда комплементарная матрице (антисэнс РНК). IVT на первых этапах проводится так же, как и обратная транскрипция с мечением, но без инкорпорации модифицированных нуклеотидов в кДНК и с синтезом второй цепи кДНК. Именно вторая цепь кДНК транскрибируется РНК-полимеразой Т7 с использованием модифицированных нуклеотидов с образованием антисенс-РНК.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8"/>
          <w:szCs w:val="28"/>
        </w:rPr>
      </w:pPr>
      <w:r w:rsidRPr="00AB12CF">
        <w:rPr>
          <w:rFonts w:ascii="Times New Roman" w:hAnsi="Times New Roman" w:cs="Times New Roman"/>
          <w:sz w:val="28"/>
          <w:szCs w:val="28"/>
        </w:rPr>
        <w:t xml:space="preserve">Альтернативно, перед гибридизацией с низкоплотным чипом может быть проведена ПЦР с целью амплификации кДНК интересующих транскрибируемых локусов. Этот подход не рекомендуется, так как очень сложно или невозможно провести ПЦР так, чтобы амплификация всех интересующих генов прошла равномерно. Правомочность применения стадии амплификации, будь то IVT или, тем более, ПЦР, всегда остается под большим вопросом. Необходимо также учитывать, что IVT может быть использована для амплификации только поли-(А)-РНК.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 xml:space="preserve">Гибридизация на чипе. </w:t>
      </w:r>
      <w:r w:rsidRPr="00AB12CF">
        <w:rPr>
          <w:rFonts w:ascii="Times New Roman" w:hAnsi="Times New Roman" w:cs="Times New Roman"/>
          <w:sz w:val="28"/>
          <w:szCs w:val="28"/>
        </w:rPr>
        <w:t xml:space="preserve">Общее правило при подборе объема наносимого </w:t>
      </w:r>
      <w:r w:rsidRPr="00AB12CF">
        <w:rPr>
          <w:rFonts w:ascii="Times New Roman" w:hAnsi="Times New Roman" w:cs="Times New Roman"/>
          <w:sz w:val="28"/>
          <w:szCs w:val="28"/>
        </w:rPr>
        <w:lastRenderedPageBreak/>
        <w:t>на чип образца - на каждый 1 мм</w:t>
      </w:r>
      <w:r w:rsidRPr="00AB12CF">
        <w:rPr>
          <w:rFonts w:ascii="Times New Roman" w:hAnsi="Times New Roman" w:cs="Times New Roman"/>
          <w:sz w:val="18"/>
          <w:szCs w:val="18"/>
          <w:vertAlign w:val="superscript"/>
        </w:rPr>
        <w:t>2</w:t>
      </w:r>
      <w:r w:rsidRPr="00AB12CF">
        <w:rPr>
          <w:rFonts w:ascii="Times New Roman" w:hAnsi="Times New Roman" w:cs="Times New Roman"/>
          <w:sz w:val="28"/>
          <w:szCs w:val="28"/>
        </w:rPr>
        <w:t xml:space="preserve"> поверхности чипа приходится 0.033 мкл образца. Чип на основе предметного стекла, покрываемый стеклом 24х50 мм, потребует 40 мкл образца. Очень большое внимание должно уделяться как процедуре нанесения образца (избегать пузырей), так и качеству используемых расходных материалов (покровное стекло должно быть максимально возможно ровным).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Компоненты гибридизационной смеси, как правило, содержат меченые образцы, ДЭПК-воду, блокирующие молекулы (C</w:t>
      </w:r>
      <w:r w:rsidRPr="00AB12CF">
        <w:rPr>
          <w:rFonts w:ascii="Times New Roman" w:hAnsi="Times New Roman" w:cs="Times New Roman"/>
          <w:sz w:val="18"/>
          <w:szCs w:val="18"/>
          <w:vertAlign w:val="subscript"/>
        </w:rPr>
        <w:t>0</w:t>
      </w:r>
      <w:r w:rsidRPr="00AB12CF">
        <w:rPr>
          <w:rFonts w:ascii="Times New Roman" w:hAnsi="Times New Roman" w:cs="Times New Roman"/>
          <w:sz w:val="28"/>
          <w:szCs w:val="28"/>
        </w:rPr>
        <w:t xml:space="preserve">t-ДНК, тРНК дрожжей, раствор Дэнхардта (Denhardt’s solution); поли(дА) - если чипы печатаются с использованием кДНК), SDS (добавляется после смешивания предыдущих компонент, прогревания и охлаждения).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Необходимо помнить, что флуоресцентно меченая кДНК имеет тенденцию к образованию агрегатов, мешающих считыванию сигналов. Агрегаты могут быть удалены центрифугированием.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8"/>
          <w:szCs w:val="28"/>
        </w:rPr>
      </w:pPr>
      <w:r w:rsidRPr="00AB12CF">
        <w:rPr>
          <w:rFonts w:ascii="Times New Roman" w:hAnsi="Times New Roman" w:cs="Times New Roman"/>
          <w:sz w:val="28"/>
          <w:szCs w:val="28"/>
        </w:rPr>
        <w:t xml:space="preserve">Образец наносится на покровное стекло и покрывается перевернутым чипом. После нанесения образца, чип помещают в гибридизационную камеру и в увлажняющий отсек камеры или на матовый край наносят 3х SSC. Помимо образцов, рекомендуется загружать чип с раствором, в котором отсутствует образец - для проверки вытекания и высыхания гибридизационного раствора (при сканировании будет сильный флуоресцентный шум). Инкубация (гибридизация) проводится обычно при 65 градусах в течение 16 и более часов (до 20 или дольше, если необходимо).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 xml:space="preserve">Отмывка. </w:t>
      </w:r>
      <w:r w:rsidRPr="00AB12CF">
        <w:rPr>
          <w:rFonts w:ascii="Times New Roman" w:hAnsi="Times New Roman" w:cs="Times New Roman"/>
          <w:sz w:val="28"/>
          <w:szCs w:val="28"/>
        </w:rPr>
        <w:t>По рекомендации NimbleGen/Roche, все реагенты для отмывки следует готовить на воде производства VWR [17]</w:t>
      </w:r>
      <w:r w:rsidR="001C28D9">
        <w:rPr>
          <w:rFonts w:ascii="Times New Roman" w:hAnsi="Times New Roman" w:cs="Times New Roman"/>
          <w:sz w:val="28"/>
          <w:szCs w:val="28"/>
        </w:rPr>
        <w:t xml:space="preserve"> </w:t>
      </w:r>
      <w:r w:rsidRPr="00AB12CF">
        <w:rPr>
          <w:rFonts w:ascii="Times New Roman" w:hAnsi="Times New Roman" w:cs="Times New Roman"/>
          <w:sz w:val="28"/>
          <w:szCs w:val="28"/>
        </w:rPr>
        <w:t xml:space="preserve">и с добавлением </w:t>
      </w:r>
      <w:r w:rsidR="00EF05E0">
        <w:rPr>
          <w:rFonts w:ascii="Times New Roman" w:hAnsi="Times New Roman" w:cs="Times New Roman"/>
          <w:sz w:val="28"/>
          <w:szCs w:val="28"/>
        </w:rPr>
        <w:t xml:space="preserve">восстановителя </w:t>
      </w:r>
      <w:r w:rsidRPr="00AB12CF">
        <w:rPr>
          <w:rFonts w:ascii="Times New Roman" w:hAnsi="Times New Roman" w:cs="Times New Roman"/>
          <w:sz w:val="28"/>
          <w:szCs w:val="28"/>
        </w:rPr>
        <w:t xml:space="preserve">дитиотреитола.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Перед тем, как достать чип, необходимо дать остыть и высохнуть гибридизационной камере (если она погруж</w:t>
      </w:r>
      <w:r w:rsidR="001C28D9">
        <w:rPr>
          <w:rFonts w:ascii="Times New Roman" w:hAnsi="Times New Roman" w:cs="Times New Roman"/>
          <w:sz w:val="28"/>
          <w:szCs w:val="28"/>
        </w:rPr>
        <w:t>ается)</w:t>
      </w:r>
      <w:r w:rsidRPr="00AB12CF">
        <w:rPr>
          <w:rFonts w:ascii="Times New Roman" w:hAnsi="Times New Roman" w:cs="Times New Roman"/>
          <w:sz w:val="28"/>
          <w:szCs w:val="28"/>
        </w:rPr>
        <w:t xml:space="preserve">. Чип с покровным стеклом </w:t>
      </w:r>
      <w:r w:rsidRPr="00AB12CF">
        <w:rPr>
          <w:rFonts w:ascii="Times New Roman" w:hAnsi="Times New Roman" w:cs="Times New Roman"/>
          <w:sz w:val="28"/>
          <w:szCs w:val="28"/>
        </w:rPr>
        <w:lastRenderedPageBreak/>
        <w:t xml:space="preserve">помещают в промывочную камеру (сосуд Коплина) с раствором SSC/SDS. Покровное стекло должно отойти самостоятельно, после чего его можно удалить пинцетом. Отмывка проводится 2-5 минут, после чего чип переносят в сосуд с 0.06x SSC и инкубируют 2-5 минут. Затем чип быстро переносят на держатель и помещают на планшетную центрифугу. Проводят мягкое центрифугирование (167 g) во избежание образования флуоресцирующих разводов из-за высохшей на чипе жидкости.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i/>
          <w:iCs/>
          <w:sz w:val="28"/>
          <w:szCs w:val="28"/>
        </w:rPr>
        <w:t>Сканирование.</w:t>
      </w:r>
      <w:r w:rsidRPr="00AB12CF">
        <w:rPr>
          <w:rFonts w:ascii="Times New Roman" w:hAnsi="Times New Roman" w:cs="Times New Roman"/>
          <w:sz w:val="28"/>
          <w:szCs w:val="28"/>
        </w:rPr>
        <w:t xml:space="preserve"> Настройки сканера сильно зависят от самого прибора. В общем случае при двуцветном сканировании напряжение фотоумножителя и мощность излучения подбираются так, чтобы самые яркие сигналы считывались в почти максимальную величину, а свечение фона (пространства между спотами) стремилось к нулю (отдельно для каждого канала, но с максимальным сходством параметров считывания самых ярких сигналов и фона).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Сиквенс/тэговые инструменты транскриптомики</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В противоположность гибридизационным подходам, сиквенсные методы позволяют прямо определить последовательность кДНК.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Уже в 1994 году [18] кДНК или EST (тэги (“ярлыки или метки”) экспрессирующихся последовательностей) для целей транскриптомики секвенировались по Сэнжеру. Этот метод можно использовать только для небольших количеств образцов, он достаточно дорог и в общем не является количественным [2]. Как следствие, сам принцип метода претерпел изменения, позволившие превзойти часть существовавших ограничений уже в новых подходах.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К таким подходам относятся серийный анализ экспрессии генов (SAGE) [19, 20], кэповый анализ генной экспрессии (CAGE) [21, 22, 23] и массивное параллельное секвенирование сигнатур (последовательностей тэгового </w:t>
      </w:r>
      <w:r w:rsidRPr="00AB12CF">
        <w:rPr>
          <w:rFonts w:ascii="Times New Roman" w:hAnsi="Times New Roman" w:cs="Times New Roman"/>
          <w:sz w:val="28"/>
          <w:szCs w:val="28"/>
        </w:rPr>
        <w:lastRenderedPageBreak/>
        <w:t xml:space="preserve">характера) (MPSS) [2, 24, 25, 26].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При использовании </w:t>
      </w:r>
      <w:r w:rsidR="00075848">
        <w:rPr>
          <w:rFonts w:ascii="Times New Roman" w:hAnsi="Times New Roman" w:cs="Times New Roman"/>
          <w:sz w:val="28"/>
          <w:szCs w:val="28"/>
        </w:rPr>
        <w:t xml:space="preserve">современного варианта </w:t>
      </w:r>
      <w:r w:rsidRPr="00AB12CF">
        <w:rPr>
          <w:rFonts w:ascii="Times New Roman" w:hAnsi="Times New Roman" w:cs="Times New Roman"/>
          <w:sz w:val="28"/>
          <w:szCs w:val="28"/>
        </w:rPr>
        <w:t xml:space="preserve">SAGE “читаются” </w:t>
      </w:r>
      <w:r w:rsidR="00075848">
        <w:rPr>
          <w:rFonts w:ascii="Times New Roman" w:hAnsi="Times New Roman" w:cs="Times New Roman"/>
          <w:sz w:val="28"/>
          <w:szCs w:val="28"/>
        </w:rPr>
        <w:t xml:space="preserve">один-два десятка </w:t>
      </w:r>
      <w:r w:rsidRPr="00AB12CF">
        <w:rPr>
          <w:rFonts w:ascii="Times New Roman" w:hAnsi="Times New Roman" w:cs="Times New Roman"/>
          <w:sz w:val="28"/>
          <w:szCs w:val="28"/>
        </w:rPr>
        <w:t xml:space="preserve">нуклеотидов 3’-концов транскриптов. В CAGE </w:t>
      </w:r>
      <w:r w:rsidR="008469B4">
        <w:rPr>
          <w:rFonts w:ascii="Times New Roman" w:hAnsi="Times New Roman" w:cs="Times New Roman"/>
          <w:sz w:val="28"/>
          <w:szCs w:val="28"/>
        </w:rPr>
        <w:t xml:space="preserve">сегодня </w:t>
      </w:r>
      <w:bookmarkStart w:id="0" w:name="_GoBack"/>
      <w:bookmarkEnd w:id="0"/>
      <w:r w:rsidRPr="00AB12CF">
        <w:rPr>
          <w:rFonts w:ascii="Times New Roman" w:hAnsi="Times New Roman" w:cs="Times New Roman"/>
          <w:sz w:val="28"/>
          <w:szCs w:val="28"/>
        </w:rPr>
        <w:t xml:space="preserve">используется такой же подход, как в SAGE, но для 5’-конца. В случае MPSS идет чтение “сигнатур” кДНК с помощью нескольких циклов рестрикции/лигирования кДНК [2].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Эти новые тэг/сиквенсные методы имеют высокую производительность и дают точные, “цифровые” данные об экспрессии генов. С другой стороны, они по-прежнему дороги, так как в основе все так же леж</w:t>
      </w:r>
      <w:r w:rsidR="00890181">
        <w:rPr>
          <w:rFonts w:ascii="Times New Roman" w:hAnsi="Times New Roman" w:cs="Times New Roman"/>
          <w:sz w:val="28"/>
          <w:szCs w:val="28"/>
        </w:rPr>
        <w:t>ит</w:t>
      </w:r>
      <w:r w:rsidRPr="00AB12CF">
        <w:rPr>
          <w:rFonts w:ascii="Times New Roman" w:hAnsi="Times New Roman" w:cs="Times New Roman"/>
          <w:sz w:val="28"/>
          <w:szCs w:val="28"/>
        </w:rPr>
        <w:t xml:space="preserve"> секвенирование по Сэнжеру. Не была решена и биоинформационная проблема:  картирование большой фракции считываемых коротких тэгов на геноме неуникально. Принципиальное ограничение тэговых сиквенс-методов заключается в игнорировании транскрипт-вариантов: в основном транскрипт-варианты имеют одни и те же тэги [2]. Следующим шагом в развитии сиквенсного направления транскриптомики стало РНК-секвенирование (RNA-Seq).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Новые инструменты транскриптомики: RNA-Seq</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Принцип RNA-Seq заключается в глубоком секвенировании кДНК с добавленными адаптерами на одном или обоих концах кДНК (рисунок 4) [2, 4]. </w:t>
      </w:r>
    </w:p>
    <w:p w:rsidR="001C28D9" w:rsidRDefault="001C28D9"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Секвенирование при RNA-Seq производится не по Сэнжеру, а с помощью “секвенирования следующего поколения” (NGS) (рисунок 5).</w:t>
      </w:r>
    </w:p>
    <w:p w:rsidR="001C28D9" w:rsidRPr="008E629A" w:rsidRDefault="001C28D9" w:rsidP="001C2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lang w:val="en-US"/>
        </w:rPr>
      </w:pPr>
      <w:r w:rsidRPr="00AB12CF">
        <w:rPr>
          <w:rFonts w:ascii="Times New Roman" w:hAnsi="Times New Roman" w:cs="Times New Roman"/>
          <w:sz w:val="28"/>
          <w:szCs w:val="28"/>
        </w:rPr>
        <w:t xml:space="preserve">Каждая молекула секвенируется (с амплификацией или без нее) с одного или двух концов на высокопроизводительных платформах. На сегодняшний день наиболее распространены следующие NGS-платформы: </w:t>
      </w:r>
    </w:p>
    <w:p w:rsidR="001C28D9" w:rsidRPr="00AB12CF" w:rsidRDefault="001C28D9" w:rsidP="001C28D9">
      <w:pPr>
        <w:widowControl w:val="0"/>
        <w:numPr>
          <w:ilvl w:val="0"/>
          <w:numId w:val="13"/>
        </w:numPr>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Illumina IG18 (принцип - флуоресцентные обратимые терминаторы полимеризации) [9];</w:t>
      </w:r>
    </w:p>
    <w:p w:rsidR="001C28D9" w:rsidRDefault="001C28D9" w:rsidP="001C28D9">
      <w:pPr>
        <w:widowControl w:val="0"/>
        <w:numPr>
          <w:ilvl w:val="0"/>
          <w:numId w:val="13"/>
        </w:numPr>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Applied Biosystems (Life Technologies) SOLiD (принцип - </w:t>
      </w:r>
      <w:r w:rsidRPr="00AB12CF">
        <w:rPr>
          <w:rFonts w:ascii="Times New Roman" w:hAnsi="Times New Roman" w:cs="Times New Roman"/>
          <w:sz w:val="28"/>
          <w:szCs w:val="28"/>
        </w:rPr>
        <w:lastRenderedPageBreak/>
        <w:t>селективное по комплементарности лигирование меченых олигонуклеотидов) [15];</w:t>
      </w:r>
    </w:p>
    <w:p w:rsidR="00AB12CF" w:rsidRPr="00AB12CF" w:rsidRDefault="00AB12CF" w:rsidP="00802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5435600" cy="558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35600" cy="5588000"/>
                    </a:xfrm>
                    <a:prstGeom prst="rect">
                      <a:avLst/>
                    </a:prstGeom>
                    <a:noFill/>
                    <a:ln>
                      <a:noFill/>
                    </a:ln>
                  </pic:spPr>
                </pic:pic>
              </a:graphicData>
            </a:graphic>
          </wp:inline>
        </w:drawing>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jc w:val="center"/>
        <w:rPr>
          <w:rFonts w:ascii="Times New Roman" w:hAnsi="Times New Roman" w:cs="Times New Roman"/>
          <w:sz w:val="28"/>
          <w:szCs w:val="28"/>
        </w:rPr>
      </w:pPr>
      <w:r w:rsidRPr="00AB12CF">
        <w:rPr>
          <w:rFonts w:ascii="Times New Roman" w:hAnsi="Times New Roman" w:cs="Times New Roman"/>
          <w:sz w:val="28"/>
          <w:szCs w:val="28"/>
        </w:rPr>
        <w:t>Рисунок 4 - Принцип метода RNA-Seq [2].</w:t>
      </w:r>
    </w:p>
    <w:p w:rsidR="001C28D9" w:rsidRPr="008E629A" w:rsidRDefault="001C28D9" w:rsidP="001C28D9">
      <w:pPr>
        <w:widowControl w:val="0"/>
        <w:numPr>
          <w:ilvl w:val="0"/>
          <w:numId w:val="13"/>
        </w:numPr>
        <w:autoSpaceDE w:val="0"/>
        <w:autoSpaceDN w:val="0"/>
        <w:adjustRightInd w:val="0"/>
        <w:ind w:left="0" w:firstLine="851"/>
        <w:rPr>
          <w:rFonts w:ascii="Times New Roman" w:hAnsi="Times New Roman" w:cs="Times New Roman"/>
          <w:sz w:val="28"/>
          <w:szCs w:val="28"/>
        </w:rPr>
      </w:pPr>
      <w:r w:rsidRPr="008E629A">
        <w:rPr>
          <w:rFonts w:ascii="Times New Roman" w:hAnsi="Times New Roman" w:cs="Times New Roman"/>
          <w:sz w:val="28"/>
          <w:szCs w:val="28"/>
        </w:rPr>
        <w:t>Roche 454 Life Science (принцип - пиросеквенирование - детекция пирофосфата) [7];</w:t>
      </w:r>
    </w:p>
    <w:p w:rsidR="001C28D9" w:rsidRPr="00AB12CF" w:rsidRDefault="001C28D9" w:rsidP="001C28D9">
      <w:pPr>
        <w:widowControl w:val="0"/>
        <w:numPr>
          <w:ilvl w:val="0"/>
          <w:numId w:val="13"/>
        </w:numPr>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безамплификационная платформа Helicos Biosciences tSMS (принцип - циклический анализ инкорпорации флуоресцентных нуклеотидов) [27];</w:t>
      </w:r>
    </w:p>
    <w:p w:rsidR="001C28D9" w:rsidRPr="00AB12CF" w:rsidRDefault="001C28D9" w:rsidP="001C28D9">
      <w:pPr>
        <w:widowControl w:val="0"/>
        <w:numPr>
          <w:ilvl w:val="0"/>
          <w:numId w:val="13"/>
        </w:numPr>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lastRenderedPageBreak/>
        <w:t xml:space="preserve">Life Techologies Ion Torrent (принцип - детекция изменения pH при включении в цикле нуклеотида) [15]; </w:t>
      </w:r>
    </w:p>
    <w:p w:rsidR="001C28D9" w:rsidRPr="00847A82" w:rsidRDefault="001C28D9" w:rsidP="001C28D9">
      <w:pPr>
        <w:widowControl w:val="0"/>
        <w:numPr>
          <w:ilvl w:val="0"/>
          <w:numId w:val="13"/>
        </w:numPr>
        <w:autoSpaceDE w:val="0"/>
        <w:autoSpaceDN w:val="0"/>
        <w:adjustRightInd w:val="0"/>
        <w:ind w:left="0" w:firstLine="851"/>
        <w:rPr>
          <w:rFonts w:ascii="Times New Roman" w:hAnsi="Times New Roman" w:cs="Times New Roman"/>
          <w:position w:val="-2"/>
          <w:sz w:val="28"/>
          <w:szCs w:val="28"/>
        </w:rPr>
      </w:pPr>
      <w:r w:rsidRPr="00AB12CF">
        <w:rPr>
          <w:rFonts w:ascii="Times New Roman" w:hAnsi="Times New Roman" w:cs="Times New Roman"/>
          <w:sz w:val="28"/>
          <w:szCs w:val="28"/>
        </w:rPr>
        <w:t>Sequenom MassA</w:t>
      </w:r>
      <w:r>
        <w:rPr>
          <w:rFonts w:ascii="Times New Roman" w:hAnsi="Times New Roman" w:cs="Times New Roman"/>
          <w:sz w:val="28"/>
          <w:szCs w:val="28"/>
        </w:rPr>
        <w:t>RRAY Analyzer 4 (принцип – масс-</w:t>
      </w:r>
      <w:r w:rsidRPr="00AB12CF">
        <w:rPr>
          <w:rFonts w:ascii="Times New Roman" w:hAnsi="Times New Roman" w:cs="Times New Roman"/>
          <w:sz w:val="28"/>
          <w:szCs w:val="28"/>
        </w:rPr>
        <w:t xml:space="preserve">спектрометрия MALDI-TOF) [28]. </w:t>
      </w:r>
    </w:p>
    <w:p w:rsidR="00847A82" w:rsidRPr="00AB12CF" w:rsidRDefault="00847A82" w:rsidP="00847A82">
      <w:pPr>
        <w:widowControl w:val="0"/>
        <w:autoSpaceDE w:val="0"/>
        <w:autoSpaceDN w:val="0"/>
        <w:adjustRightInd w:val="0"/>
        <w:ind w:left="851" w:firstLine="0"/>
        <w:rPr>
          <w:rFonts w:ascii="Times New Roman" w:hAnsi="Times New Roman" w:cs="Times New Roman"/>
          <w:position w:val="-2"/>
          <w:sz w:val="28"/>
          <w:szCs w:val="28"/>
        </w:rPr>
      </w:pPr>
    </w:p>
    <w:p w:rsidR="00AB12CF" w:rsidRPr="00AB12CF" w:rsidRDefault="00AB12CF" w:rsidP="00802D7D">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left="851"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4559300" cy="49149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59300" cy="4914900"/>
                    </a:xfrm>
                    <a:prstGeom prst="rect">
                      <a:avLst/>
                    </a:prstGeom>
                    <a:noFill/>
                    <a:ln>
                      <a:noFill/>
                    </a:ln>
                  </pic:spPr>
                </pic:pic>
              </a:graphicData>
            </a:graphic>
          </wp:inline>
        </w:drawing>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5 - Сравнение секвенирования по Сэнжеру и NGS [4]. </w:t>
      </w: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В результате секвенирования получаются риды длиной 30-400 нуклеотидов. Затем риды или выравниваются на рефренсном геноме или рефренсных транскриптах, или осуществляется сборка </w:t>
      </w:r>
      <w:r w:rsidRPr="00AB12CF">
        <w:rPr>
          <w:rFonts w:ascii="Times New Roman" w:hAnsi="Times New Roman" w:cs="Times New Roman"/>
          <w:i/>
          <w:iCs/>
          <w:sz w:val="28"/>
          <w:szCs w:val="28"/>
        </w:rPr>
        <w:t>de novo</w:t>
      </w:r>
      <w:r w:rsidRPr="00AB12CF">
        <w:rPr>
          <w:rFonts w:ascii="Times New Roman" w:hAnsi="Times New Roman" w:cs="Times New Roman"/>
          <w:sz w:val="28"/>
          <w:szCs w:val="28"/>
        </w:rPr>
        <w:t xml:space="preserve"> без рефренсной </w:t>
      </w:r>
      <w:r w:rsidRPr="00AB12CF">
        <w:rPr>
          <w:rFonts w:ascii="Times New Roman" w:hAnsi="Times New Roman" w:cs="Times New Roman"/>
          <w:sz w:val="28"/>
          <w:szCs w:val="28"/>
        </w:rPr>
        <w:lastRenderedPageBreak/>
        <w:t xml:space="preserve">последовательности. В результате получаются полногеномные транскрипционные карты, включающие качественные (в т.ч. структурные) и/или количественные характеристики экспрессии каждого гена [2].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Несмотря на то, что развитие RNA-Seq еще продолжается, уже сегодня данный метод имеет ряд серьезных преимуществ перед предшествующими подходами и гибридизационными технологиями. Во-первых, RNA-Seq не требует наличия геномного сиквенса. Возможность двуконцевого секвенирования, различные длины ридов (от 30 нт) делают возможным определение попарных и множественных соединений экзонов. RNA-Seq, в отличие от чиповых технологий почти или совсем не имеет фонового сигнала, так как в большинстве случаев риды картируются уникально. У RNA-Seq принципиально нет количественного предела детекции, и в то же время количество необходимой РНК из образца меньше, чем в случае с тэговыми сиквенс-методами или гибридизационными подходами. Дополнительным преимуществом RNA-Seq является возможность определения вариаций последовательностей в транскрибируемых регионах.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color w:val="FB0007"/>
          <w:sz w:val="28"/>
          <w:szCs w:val="28"/>
        </w:rPr>
      </w:pPr>
      <w:r w:rsidRPr="00AB12CF">
        <w:rPr>
          <w:rFonts w:ascii="Times New Roman" w:hAnsi="Times New Roman" w:cs="Times New Roman"/>
          <w:sz w:val="28"/>
          <w:szCs w:val="28"/>
        </w:rPr>
        <w:t xml:space="preserve">Высокая количественная точность RNA-Seq подтверждена с помощью qПЦР и определения экзогенной для образца контрольной РНК известной концентрации (spike-in РНК), благодаря априорному знанию последовательности которой и анализируется «наблюдаемое» ее количество [2].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Таким образом, сегодня RNA-Seq является методом, лишенным недостатков сиквенс/тэговых и гибридизационных подходов, и гораздо более дешевым, чем методы-предшественники. Однако это не значит, что RNA-Seq в принципе не имеет недостатков или технических сложностей. </w:t>
      </w:r>
    </w:p>
    <w:p w:rsid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p>
    <w:p w:rsidR="00847A82" w:rsidRDefault="00847A82"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p>
    <w:p w:rsidR="00847A82" w:rsidRPr="00AB12CF" w:rsidRDefault="00847A82"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 xml:space="preserve">Методические проблемы RNA-Seq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Идеальный транскриптомный метод должен позволять прямо идентифицировать и количественно определять все РНК образца, независимо от их размера. Несмотря на очень малое количество стадий в анализе RNA-Seq, некоторые из них могут представлять сложности для профилирования некоторых типов транскриптов [2].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Если малые РНК (микроРНК и другие малые нетранслируемые РНК) могут быть секвенированы уже после лигирования адаптера, то крупные РНК должны быть фрагментированы (до 200-500 нт), чтобы соответствовать требованиям большинства платформ для глубокого секвенирования. Обычные методы фрагментации РНК (РНК-гидролиз или небулизация (распыление)) и ДНК (обработка ДНКазой I или ультразвуковая фрагментация) могут влиять, причем по-разному, на результат RNA-Seq. При фрагментации РНК сохраняется информация о структуре большей части последовательности, но концевые участки нарушаются. Наоборот, фрагментация кДНК обычно селективно заметно облегчает идентификацию 3’-концов транскриптов [2].</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При наличии амплификационной стадии RNA-Seq возникает проблема оценки истинной копийности транскрипта на фоне возможных артефактов ПЦР [2].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Сложность при разработке эксперимента с RNA-Seq заключается в выборе подхода к анализу транскрибируемых локусов на плюс- и минус-цепях. Создание цепь-специфичных библиотек позволяет картировать регионы с пересекающимися транскриптами, считываемых в противоположных направлениях (т.е. с обеих цепей одного локуса) [2].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Для RNA-Seq, как и для всех высокопроизводительных технологий секвенирования, характерны сложности биоинформационного анализа, включающие проблемы эффективного хранения, выведения и обработки </w:t>
      </w:r>
      <w:r w:rsidRPr="00AB12CF">
        <w:rPr>
          <w:rFonts w:ascii="Times New Roman" w:hAnsi="Times New Roman" w:cs="Times New Roman"/>
          <w:sz w:val="28"/>
          <w:szCs w:val="28"/>
        </w:rPr>
        <w:lastRenderedPageBreak/>
        <w:t xml:space="preserve">данных, а также элиминацию низкокачественных ридов [2]. </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 xml:space="preserve">Сложности картирования ридов на геноме (для этого применяются программные пакеты ELAND, SOAP, MAQ, RMAP и другие) или сборки </w:t>
      </w:r>
      <w:r w:rsidRPr="00AB12CF">
        <w:rPr>
          <w:rFonts w:ascii="Times New Roman" w:hAnsi="Times New Roman" w:cs="Times New Roman"/>
          <w:i/>
          <w:iCs/>
          <w:sz w:val="28"/>
          <w:szCs w:val="28"/>
        </w:rPr>
        <w:t>de novo</w:t>
      </w:r>
      <w:r w:rsidRPr="00AB12CF">
        <w:rPr>
          <w:rFonts w:ascii="Times New Roman" w:hAnsi="Times New Roman" w:cs="Times New Roman"/>
          <w:sz w:val="28"/>
          <w:szCs w:val="28"/>
        </w:rPr>
        <w:t xml:space="preserve"> в случае RNA-Seq связаны со специфической особенностью данного метода - наличием коротких ридов, попадающих в экзон-экзонные стыки, и ридов, попавших в поли-(А)-хвосты транскриптов. Эти трудности относительно легко преодолимы в случае с организмами с низкоуровневым сплайсингом (например, у </w:t>
      </w:r>
      <w:r w:rsidRPr="00AB12CF">
        <w:rPr>
          <w:rFonts w:ascii="Times New Roman" w:hAnsi="Times New Roman" w:cs="Times New Roman"/>
          <w:i/>
          <w:iCs/>
          <w:sz w:val="28"/>
          <w:szCs w:val="28"/>
        </w:rPr>
        <w:t xml:space="preserve">S. cerevisae </w:t>
      </w:r>
      <w:r w:rsidRPr="00AB12CF">
        <w:rPr>
          <w:rFonts w:ascii="Times New Roman" w:hAnsi="Times New Roman" w:cs="Times New Roman"/>
          <w:sz w:val="28"/>
          <w:szCs w:val="28"/>
        </w:rPr>
        <w:t>сплайс-сайты фланкированы динуклеотидами GT-AG). Для сложных транскриптомов, включающих последствия альтернативного и транс-сплайсинга, идеального решения, позволяющего легко идентифицировать неописанные сплайс-события, пока нет [2].</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Для крупных транскриптомов проблема картирования в RNA-Seq сохраняется: многие риды картируются на геноме неуникально. Одно из применяемых решений - оценка таких ридов с учетом копийности соседних уникальных последовательностей. Очень высоко повторенные риды (&gt;100 копий) и длинные локусы с повторенными последовательностями представляют проблему, которая может быть решена увеличением длины ридов. Другое решение этой проблемы заключается в возможности секвенирования с двух концов, что увеличивает картируемые фрагменты до 200-500 п.о. [2].</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r w:rsidRPr="00AB12CF">
        <w:rPr>
          <w:rFonts w:ascii="Times New Roman" w:hAnsi="Times New Roman" w:cs="Times New Roman"/>
          <w:sz w:val="28"/>
          <w:szCs w:val="28"/>
        </w:rPr>
        <w:t>Возможность картирования вариаций последовательности в случае RNA-Seq хоть и является преимуществом этого метода, но во многом зависит от состояния аннотации вариаций рефренсного генома и величины покрытия при секвенировании [2].</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ind w:firstLine="85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Подготовка образца к транскриптомному анализу</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Независимо от выбранного при планировании эксперимента метода качественной и количественной оценки транскриптома, первой </w:t>
      </w:r>
      <w:r w:rsidRPr="00AB12CF">
        <w:rPr>
          <w:rFonts w:ascii="Times New Roman" w:hAnsi="Times New Roman" w:cs="Times New Roman"/>
          <w:sz w:val="28"/>
          <w:szCs w:val="28"/>
        </w:rPr>
        <w:lastRenderedPageBreak/>
        <w:t xml:space="preserve">экспериментальной стадией работы является получение образца РНК. РНК термодинамически стабильна, но быстро разрушается под действием РНКаз, контакта РНК с которыми очень сложно избежать. Часто выделенная РНК деградирует с образованием коротких фрагментов, которые могут заметно повлиять на результаты исследования [29]. Если выделение РНК производится не непосредственно после забора образца, образцы должны быть помещены в условия, препятствующие индукции транскрипции и деградации РНК. Для тканей может быть использован RNAlater (Qiagen) или аналоги, для крови - вакутайнеры PAXgene Blood RNA Tubes (Qiagen), для костного мозга - пробирки PAXgene Bone Marrow RNA Tubes (Qiagen). Важно помнить, что системы стабилизации РНК могут не быть взаимозаменяемы. Например, различными производителями не рекомендуется использовать RNAlater для крови, хотя в некоторых случаях и при использовании дополнительных компонент (например, Ambion’s RiboPure Blood Kit от Life Technologies) это возможно.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На каждом этапе работы с образцом при подготовке РНК необходимо избегать контаминации реагентов и расходных материалов РНКазами. Нельзя допускать контакта с расходными материалами без перчаток. Новая пластиковая посуда, из упаковки, как правило, может использоваться без предварительной подготовки. Все реагенты и расходные материалы, не поставляемые коммерческими фирмами в виде, свободном от РНКаз (RNAse free), должны быть обработаны 0.05-0.1% диэтилпирокарбонатом (DEPC, ДЭПК) и проавтоклавированы или приготовлены на ДЭПК-обработанной воде (например, приготовить “работающий” раствор ТРИС с ДЭПК невозможно - аминогруппы реагируют с ДЭПК).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Успех процедур амплификации и/или мечения полностью зависит от качества используемой РНК. Вместе с РНК в реакционную смесь могут попасть </w:t>
      </w:r>
      <w:r w:rsidRPr="00AB12CF">
        <w:rPr>
          <w:rFonts w:ascii="Times New Roman" w:hAnsi="Times New Roman" w:cs="Times New Roman"/>
          <w:sz w:val="28"/>
          <w:szCs w:val="28"/>
        </w:rPr>
        <w:lastRenderedPageBreak/>
        <w:t xml:space="preserve">вещества - ингибиторы ферментативной активности, компоненты растворов для выделения РНК. В связи с этим целесообразно провести отработку методов и выбрать наиболее воспроизводимый метод или комбинацию методов. Например, для выделения РНК из культур клеток для лизиса может быть использован гуанидинтиоцианат, дальнейшая же очистка РНК может быть произведена колоночным методом (в любом случае, рекомендуемым производителем реагентов и расходных материалов для выделения и очистки РНК является Qiagen) или далее по методике Хомчински [30] (с использованием собственных реагентов, тризола или триреагента и других аналогов).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После выделения РНК всегда необходимо проверять ее целостность доступным методом. Для проверки качества РНК можно внести 500 нг РНК в 1% агарозный гель и провести электрофорез с окрашиванием бромистым этидием. У человека мРНК будет выглядеть как шмер с длинами молекул от 0.5 до 9 кб (тысяч п.о.), 28S рРНК - как бэнд 4.5 кб, 18S рРНК - как бэнд 1.9 кб. Бэнд 28S рРНК должен быть в 2 раза более интенсивным, чем бэнд 18S рРНК, хотя для уверенности в достаточном качестве РНК для применения в некоторых типах исследований достаточно наблюдения четких бэндов рРНК и отсутствия шмера деградированной РНК [5]. Использование денатурирующего агарозного геля позволяет добиться очень высокой четкости бэндов рРНК. Общий шмер РНК, сниженная интенсивность бэнда 28S рРНК и повышение количества коротких РНК на геле отражают возможную деградацию РНК. Диффузность бэнда 28S рРНК говорит о недостаточном количестве внесенной в гель РНК. Отсутствие бэндов и шмеров говорит о проблемах с выделением РНК.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CD0006"/>
          <w:sz w:val="28"/>
          <w:szCs w:val="28"/>
        </w:rPr>
      </w:pPr>
      <w:r w:rsidRPr="00AB12CF">
        <w:rPr>
          <w:rFonts w:ascii="Times New Roman" w:hAnsi="Times New Roman" w:cs="Times New Roman"/>
          <w:sz w:val="28"/>
          <w:szCs w:val="28"/>
        </w:rPr>
        <w:t xml:space="preserve">Оценка целостности РНК с помощью анализа соотношений электрофоретических бэндов рРНК стандартным методом в агарозном геле достаточно субъективна, так как в основе метода лежит интерпретация изображения человеком. Избежать субъективности при оценке качества </w:t>
      </w:r>
      <w:r w:rsidRPr="00AB12CF">
        <w:rPr>
          <w:rFonts w:ascii="Times New Roman" w:hAnsi="Times New Roman" w:cs="Times New Roman"/>
          <w:sz w:val="28"/>
          <w:szCs w:val="28"/>
        </w:rPr>
        <w:lastRenderedPageBreak/>
        <w:t xml:space="preserve">используемой РНК можно с помощью автоматизированных микрофлюидных систем, таких как Agilent 2100 bioanalyzer. Оценка качества РНК - определение индекса целостности (RIN - RNA integrity number) с помощью подобных систем основана на тех же принципах, что и электрофоретическая оценка соотношений содержания 18S и 28S рРНК, однако высокая стандартизация методики позволяет вести анализ RIN с высокой точностью (площадь под ROC-кривой метода для разных стадий деградации РНК - от 0.960) [29].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Независимо от методологии проводимого транскриптомного анализа, важно проводить контроль качества работы с помощью spike-in РНК (т.е. вносимой исследователем в анализируемый образец РНК с известной последовательностью и конечной концентрацией).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Статистическая и биоинформационная методология транскриптомики</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Проведение транскриптомного, как и любого другого, исследования должно начинаться с правильного дизайна эксперимента [4]. При планировании транскриптомных исследований в первую очередь необходимо ознакомиться с текущими требованиями международных консорциумов по качеству публикуемых экспериментальных данных. Для микрочиповых технологий это MIAME [31], для количественного ПЦР - MIQE [32], для сиквенсовых технологий - MINSEQE [31]. Соответствие планируемого эксперимента рекомендациям консорциумов не только облегчает работу, позволяет стандартизировать данные, но и является важным условием возможности опубликовать результаты исследования.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При использовании гибридизационного и сиквенсового подходов нужно учитывать их общие и специальные требования к планированию эксперимента и анализу данных. Один из критических требований в транскриптомике является рандомизация. На стадии дизайна эксперимента необходимо принять решение </w:t>
      </w:r>
      <w:r w:rsidRPr="00AB12CF">
        <w:rPr>
          <w:rFonts w:ascii="Times New Roman" w:hAnsi="Times New Roman" w:cs="Times New Roman"/>
          <w:sz w:val="28"/>
          <w:szCs w:val="28"/>
        </w:rPr>
        <w:lastRenderedPageBreak/>
        <w:t>относительно пулирования образцов и количества биологических репликатов, способа воздействия на образец и о том, насколько правомочной может быть интерпретация результатов в зависимости от выбранных шагов [4]. Часто в транскриптомных исследованиях используется небольшое количество биологических реплик (от единиц до десятков). В таких условиях, особенно учитывая объем обрабатываемой информации, неучтенные или неодинаковые для групп влияния среды или свойств отдельных репликатов, а не анализируемого фактора должны быть сведены к минимуму. В случае RNA-Seq, несмотря на высокую воспроизводимость, биологическая репликация рекомендуется для обеспечения правомочности последующих обобщения и системного экстраполирования получаемых данных.</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Выбор исследователем смещения в сторону ложно-положительных или ложно-отрицательных результатов должен определяться наличием пост-аналитических тестов, например, количественная ПЦР (ПЦР в реальном времени или цифровая ПЦР). Если планируется пост-экспериментальная оценка истинности полученных данных, строгость критериев может быть снижена, а в противном случае - повышена.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Процедуры первичного анализа данных и последующая статистическая обработка могут быть произведены с помощью обычных средств работы с данными (Numbers, MS Excel, Statistica, MedCalc), специальных платных коммерческих платформ (например, Illumina Genome Studio) и бесплатного программного обеспечения и сред (R вместе с пакетом lumi или другими необходимыми; R-Cloud Workbench на серверах EMBL [33], Expression Profiler у EBI; условно бесплатная java - среда Chipster [34]. Как уже упоминалось выше, для работы со всеми указанными и наиболее популярными бесплатными средами (кроме Chipster) необходимо знание языка R, так как все приложения так или иначе работают через консоль R. Chipster имеет временные ограничения </w:t>
      </w:r>
      <w:r w:rsidRPr="00AB12CF">
        <w:rPr>
          <w:rFonts w:ascii="Times New Roman" w:hAnsi="Times New Roman" w:cs="Times New Roman"/>
          <w:sz w:val="28"/>
          <w:szCs w:val="28"/>
        </w:rPr>
        <w:lastRenderedPageBreak/>
        <w:t>для работы научных сотрудников вне Финляндии.</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Первичная обработка данных транскриптомного эксперимента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Перевод визуальной информации микрочипов в цифровую требует соблюдения правил, позволяющих избежать смещений и получить сопоставимые данные между разными чипами и разными образцами. К таким правилам относятся вычитание фона (позволяет элиминировать эффекты кросс-гибридизации или технические артефакты), нормализация (для получения сопоставимых данных) и расчет значений экспрессии гена/транскрипта по данным различных спотов. Также могут понадобиться преобразование данных (если это позволяет приблизить распределение к нормальному; при анализе данных часто применяется логарифмическое преобразование; другие и уже аналитические типы преобразования описаны ниже), отбор данных, позволяющий снизить шум и повысить качество данных [4]. Нормализация данных RNA-Seq необходима из-за различий в глубине секвенирования, длине генов, отличий между образцами по количеству молекул. Каждая из стадий предварительной обработки данных может быть произведена не единственным образом (например, средняя или ранговая нормализация), и выбор конкретного подхода зависит от условий эксперимента.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Большое влияние на получаемые после RNA-Seq данные оказывает выбор параметров одного из первых расчетных этапов - картирования контигов (ридов) на рефренсном геноме. При использовании коротких и очень коротких ридов необходимо учитывать многие параметры - неуникальность картирования ридов, количество разрешенных мисматчей, наличие экзонных стыков. </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847A82"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Контроль качества эксперимента</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Предварительный анализ транскриптомных данных включает также несколько этапов контроля качества исследования. Во-первых, это оценка корреляционных характеристик образцов. В двух образцах, анализируемых в эксперименте, учитывающем только одно какое-либо условие (а в противном случае анализ данных чрезмерно осложнен или невозможен), лишь небольшое число генов будут иметь отличия в экспрессии. Следовательно, большая часть генов должна находиться в сходных регуляторных условиях, а это подразумевает высокий коэффициент корреляции уровней экспрессии анализируемых генов между двумя образцами (рисунок 6). </w:t>
      </w: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2635787" cy="1968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35972" cy="1968638"/>
                    </a:xfrm>
                    <a:prstGeom prst="rect">
                      <a:avLst/>
                    </a:prstGeom>
                    <a:noFill/>
                    <a:ln>
                      <a:noFill/>
                    </a:ln>
                  </pic:spPr>
                </pic:pic>
              </a:graphicData>
            </a:graphic>
          </wp:inline>
        </w:drawing>
      </w:r>
      <w:r w:rsidRPr="00AB12CF">
        <w:rPr>
          <w:rFonts w:ascii="Helvetica" w:hAnsi="Helvetica" w:cs="Helvetica"/>
          <w:noProof/>
          <w:kern w:val="1"/>
          <w:lang w:eastAsia="ru-RU"/>
        </w:rPr>
        <w:drawing>
          <wp:inline distT="0" distB="0" distL="0" distR="0">
            <wp:extent cx="2742748" cy="2048381"/>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987" cy="2049306"/>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AB12CF">
        <w:rPr>
          <w:rFonts w:ascii="Times New Roman" w:hAnsi="Times New Roman" w:cs="Times New Roman"/>
          <w:sz w:val="28"/>
          <w:szCs w:val="28"/>
        </w:rPr>
        <w:t>Рисунок 6 - Оценка качества образцов по первичным аналитическим данным - на основе симметризации образцов. Несимметричный график (справа) указывает на возможно низкое качество одного из образцов (Illumina technical note)</w:t>
      </w:r>
      <w:r w:rsidR="009D49D9">
        <w:rPr>
          <w:rFonts w:ascii="Times New Roman" w:hAnsi="Times New Roman" w:cs="Times New Roman"/>
          <w:sz w:val="28"/>
          <w:szCs w:val="28"/>
        </w:rPr>
        <w:t xml:space="preserve"> [9]</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Во-вторых, два образца одной ткани, вероятно, имеют сходное количество экспрессирующихся генов. Оценка статистической значимости регистрации сигнала - одна из первых преаналитических стадий. После определения количества зарегистрированных статистически значимо экспрессирующихся генов, проводится сопоставление образцов. Заметные </w:t>
      </w:r>
      <w:r w:rsidRPr="00AB12CF">
        <w:rPr>
          <w:rFonts w:ascii="Times New Roman" w:hAnsi="Times New Roman" w:cs="Times New Roman"/>
          <w:sz w:val="28"/>
          <w:szCs w:val="28"/>
        </w:rPr>
        <w:lastRenderedPageBreak/>
        <w:t xml:space="preserve">отличия внутри биологических реплик одной группы указывают на вероятно неправильный забор образцов, приведший к контаминации ткани. В-третьих, использование spike-in РНК или других spike-in образцов (например, кДНК) может дать достаточно важную информацию о различных стадиях проведения анализа. В зависимости от типа исследования и применяемых методов, на предварительном этапе анализа данных могут быть использованы другие способы контроля качества исследования.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После получения экспрессионных данных с учетом требований соответствующего метода, возникает вопрос выбора аналитического метода. Выбор статистического подхода зависит и от типа эксперимента, и от получаемых данных.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Статистические подходы к анализу экспрессионных данных</w:t>
      </w:r>
    </w:p>
    <w:p w:rsidR="002E6D6E" w:rsidRDefault="002E6D6E"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Обобщенные статистические подходы к анализу транскриптомных данных и рекомендации по данному вопросу описаны в Current Protocols in Molecular Biology</w:t>
      </w:r>
      <w:r>
        <w:rPr>
          <w:rFonts w:ascii="Times New Roman" w:hAnsi="Times New Roman" w:cs="Times New Roman"/>
          <w:sz w:val="28"/>
          <w:szCs w:val="28"/>
        </w:rPr>
        <w:t xml:space="preserve"> [5]</w:t>
      </w:r>
      <w:r w:rsidRPr="00AB12CF">
        <w:rPr>
          <w:rFonts w:ascii="Times New Roman" w:hAnsi="Times New Roman" w:cs="Times New Roman"/>
          <w:sz w:val="28"/>
          <w:szCs w:val="28"/>
        </w:rPr>
        <w:t>.</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В случае одноцветных чипов и данных абсолютной экспрессии RNA-Seq возможны прямые сравнения величин. Удобство прямых сравнений заключается в возможности анализа различных комбинаций экспрессионных данных. К RNA-Seq неприменимы статистические подходы микрочиповой технологии, так как отсутствуют непрерывные ряды данных. В случае RNA-Seq используются обобщенные линейные модели (ОЛМ), среди которых наиболее распространены логистическая и Пуассоновская регрессия. С развитием и внедрением RNA-Seq совершенствуются и математические подходы, хотя они являются производными от классических ОЛМ</w:t>
      </w:r>
      <w:r w:rsidR="002E6D6E">
        <w:rPr>
          <w:rFonts w:ascii="Times New Roman" w:hAnsi="Times New Roman" w:cs="Times New Roman"/>
          <w:sz w:val="28"/>
          <w:szCs w:val="28"/>
        </w:rPr>
        <w:t xml:space="preserve"> [</w:t>
      </w:r>
      <w:r w:rsidR="00720CA9" w:rsidRPr="00E61ACD">
        <w:rPr>
          <w:rFonts w:ascii="Times New Roman" w:hAnsi="Times New Roman" w:cs="Times New Roman"/>
          <w:sz w:val="28"/>
          <w:szCs w:val="28"/>
        </w:rPr>
        <w:t>35</w:t>
      </w:r>
      <w:r w:rsidR="002E6D6E" w:rsidRPr="00E61ACD">
        <w:rPr>
          <w:rFonts w:ascii="Times New Roman" w:hAnsi="Times New Roman" w:cs="Times New Roman"/>
          <w:sz w:val="28"/>
          <w:szCs w:val="28"/>
        </w:rPr>
        <w:t>]</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Если по результатам гибридизационного </w:t>
      </w:r>
      <w:r w:rsidR="002E6D6E">
        <w:rPr>
          <w:rFonts w:ascii="Times New Roman" w:hAnsi="Times New Roman" w:cs="Times New Roman"/>
          <w:sz w:val="28"/>
          <w:szCs w:val="28"/>
        </w:rPr>
        <w:t xml:space="preserve">(одно- или двуцветного) </w:t>
      </w:r>
      <w:r w:rsidRPr="00AB12CF">
        <w:rPr>
          <w:rFonts w:ascii="Times New Roman" w:hAnsi="Times New Roman" w:cs="Times New Roman"/>
          <w:sz w:val="28"/>
          <w:szCs w:val="28"/>
        </w:rPr>
        <w:t xml:space="preserve">эксперимента очевидна низкая вероятность нормального распределения (оценка </w:t>
      </w:r>
      <w:r w:rsidRPr="00AB12CF">
        <w:rPr>
          <w:rFonts w:ascii="Times New Roman" w:hAnsi="Times New Roman" w:cs="Times New Roman"/>
          <w:sz w:val="28"/>
          <w:szCs w:val="28"/>
        </w:rPr>
        <w:lastRenderedPageBreak/>
        <w:t xml:space="preserve">распределения - обязательный этап аналитической стадии микрочиповых методов), то невозможно применение параметрической статистики (t-подобные критерии) и нужно пользоваться менее мощными непараметрическими методами, не зависящими от распределения. </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При использовании двуцветных чипов возможен только анализ соотношений экспрессии. Преимущество использования в качестве входных данных соотношений заключается в независимости от использованной технологической платформы, возможно сопоставление данных из разных экспериментальных источников. Однако в то же время, необходимо помнить, что уровень ошибки при анализе соотношений увеличивается: соотношения получаются из двух измерений, и каждое из них переносит свою ошибку на последующие этапы анализа. Кроме того, соотношения, полученные с вовлечением образца с низкой экспрессией, имеют более высокую ошибку, которая является производной высокой ошибки, характерной для слабых сигналов. Расчет соотношений по соотношениям (например, соотношение экспрессии C/A, рассчитанное на основе чипа B/A и чипа B/C) еще больше увеличивает ошибку. Поэтому в случае двуцветного метода эта проблема должна учитываться еще на стадии дизайна эксперимента: лучше проводить прямые (на одном чипе) сравнения наиболее информативных или интересующих пар образцов. Если же несколько попарных сравнений неизбежны, лучше использовать общий рефренс-образец (рисунок 7).</w:t>
      </w: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lastRenderedPageBreak/>
        <w:drawing>
          <wp:inline distT="0" distB="0" distL="0" distR="0">
            <wp:extent cx="5600700" cy="18591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0700" cy="1859154"/>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Рис. 7 - Способы попарного сравнения образцов при использовании двуцветной чиповой технологии</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Оценка качества обработки результатов</w:t>
      </w:r>
      <w:r w:rsidR="007F2BB1">
        <w:rPr>
          <w:rFonts w:ascii="Times New Roman" w:hAnsi="Times New Roman" w:cs="Times New Roman"/>
          <w:b/>
          <w:bCs/>
          <w:sz w:val="28"/>
          <w:szCs w:val="28"/>
        </w:rPr>
        <w:t xml:space="preserve"> и функциональный анализ</w:t>
      </w:r>
      <w:r w:rsidRPr="00AB12CF">
        <w:rPr>
          <w:rFonts w:ascii="Times New Roman" w:hAnsi="Times New Roman" w:cs="Times New Roman"/>
          <w:b/>
          <w:bCs/>
          <w:sz w:val="28"/>
          <w:szCs w:val="28"/>
        </w:rPr>
        <w:t xml:space="preserve"> (пост-статистическая статистика)</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Пока продолжается развитие статистических методов анализа экспрессионных данных и единого стандарта нет, необходимо использовать дополнительные проверочные инструменты, позволяющие повысить уверенность в правильной интерпретации результата. К таким проверочным инструментам относятся пермутационные методы, и одним из часто используемых методов является SAM - significance analysis of microarrays. Иллюстрацией применения SAM может быть следующий модельный эксперимент. Проанализированы 4 репликата контроля и 4 репликата экспериментальной группы. Для каждого гена рассчитаны относительные различия экспрессии. Относительные различия определены путем расчета разности средних по группам и деления полученной величины на “генный разброс” - стандартное отклонение повторных измерений экспрессии данного гена. Для оценки значимости относительных различий, все 8 репликатов случайным образом делятся на 2 группы по 4 образца (пермутация), и снова производится расчет относительных различий. Определение соотношения </w:t>
      </w:r>
      <w:r w:rsidRPr="00AB12CF">
        <w:rPr>
          <w:rFonts w:ascii="Times New Roman" w:hAnsi="Times New Roman" w:cs="Times New Roman"/>
          <w:sz w:val="28"/>
          <w:szCs w:val="28"/>
        </w:rPr>
        <w:lastRenderedPageBreak/>
        <w:t xml:space="preserve">величин относительных различий первого и пермутационного сравнений используется для расчета вероятности истинности выявленных отличий в экспрессии. </w:t>
      </w:r>
    </w:p>
    <w:p w:rsidR="007F2BB1" w:rsidRPr="00194773" w:rsidRDefault="007F2BB1"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силу того, что методы транскриптомики всегда связаны с оценкой экспрессии значительного числа факторов (порядка от десятка до сотни тысяч транскриптов), в исследованиях, направленных на сравнение двух биорепликатов, масштабные статистические расчеты должны дополняться биологическим, т.е. функциональным анализом. Одними из наиболее распространенных подходов к функциональному анализу в такого рода исследованиях являются оценки распределения дифференциально экспрессирующихся генов по метаболомным или клеточно-биологическим категориям. Примерами и часто применяемыми на практике</w:t>
      </w:r>
      <w:r w:rsidR="009D49D9">
        <w:rPr>
          <w:rFonts w:ascii="Times New Roman" w:hAnsi="Times New Roman" w:cs="Times New Roman"/>
          <w:sz w:val="28"/>
          <w:szCs w:val="28"/>
        </w:rPr>
        <w:t xml:space="preserve"> (например, по умолчанию в </w:t>
      </w:r>
      <w:r w:rsidR="009D49D9">
        <w:rPr>
          <w:rFonts w:ascii="Times New Roman" w:hAnsi="Times New Roman" w:cs="Times New Roman"/>
          <w:sz w:val="28"/>
          <w:szCs w:val="28"/>
          <w:lang w:val="en-US"/>
        </w:rPr>
        <w:t>Chipster</w:t>
      </w:r>
      <w:r w:rsidR="009D49D9" w:rsidRPr="00E61ACD">
        <w:rPr>
          <w:rFonts w:ascii="Times New Roman" w:hAnsi="Times New Roman" w:cs="Times New Roman"/>
          <w:sz w:val="28"/>
          <w:szCs w:val="28"/>
        </w:rPr>
        <w:t xml:space="preserve">) </w:t>
      </w:r>
      <w:r>
        <w:rPr>
          <w:rFonts w:ascii="Times New Roman" w:hAnsi="Times New Roman" w:cs="Times New Roman"/>
          <w:sz w:val="28"/>
          <w:szCs w:val="28"/>
        </w:rPr>
        <w:t xml:space="preserve">функционально-аналитическими инструментами </w:t>
      </w:r>
      <w:r w:rsidR="009D49D9">
        <w:rPr>
          <w:rFonts w:ascii="Times New Roman" w:hAnsi="Times New Roman" w:cs="Times New Roman"/>
          <w:sz w:val="28"/>
          <w:szCs w:val="28"/>
        </w:rPr>
        <w:t xml:space="preserve">являются базы </w:t>
      </w:r>
      <w:r w:rsidR="009D49D9">
        <w:rPr>
          <w:rFonts w:ascii="Times New Roman" w:hAnsi="Times New Roman" w:cs="Times New Roman"/>
          <w:sz w:val="28"/>
          <w:szCs w:val="28"/>
          <w:lang w:val="en-US"/>
        </w:rPr>
        <w:t>KEGG</w:t>
      </w:r>
      <w:r w:rsidR="009D49D9" w:rsidRPr="00E61ACD">
        <w:rPr>
          <w:rFonts w:ascii="Times New Roman" w:hAnsi="Times New Roman" w:cs="Times New Roman"/>
          <w:sz w:val="28"/>
          <w:szCs w:val="28"/>
        </w:rPr>
        <w:t xml:space="preserve"> </w:t>
      </w:r>
      <w:r w:rsidR="009D49D9">
        <w:rPr>
          <w:rFonts w:ascii="Times New Roman" w:hAnsi="Times New Roman" w:cs="Times New Roman"/>
          <w:sz w:val="28"/>
          <w:szCs w:val="28"/>
        </w:rPr>
        <w:t xml:space="preserve">и </w:t>
      </w:r>
      <w:r w:rsidR="009D49D9">
        <w:rPr>
          <w:rFonts w:ascii="Times New Roman" w:hAnsi="Times New Roman" w:cs="Times New Roman"/>
          <w:sz w:val="28"/>
          <w:szCs w:val="28"/>
          <w:lang w:val="en-US"/>
        </w:rPr>
        <w:t>Gene</w:t>
      </w:r>
      <w:r w:rsidR="009D49D9" w:rsidRPr="00E61ACD">
        <w:rPr>
          <w:rFonts w:ascii="Times New Roman" w:hAnsi="Times New Roman" w:cs="Times New Roman"/>
          <w:sz w:val="28"/>
          <w:szCs w:val="28"/>
        </w:rPr>
        <w:t xml:space="preserve"> </w:t>
      </w:r>
      <w:r w:rsidR="009D49D9">
        <w:rPr>
          <w:rFonts w:ascii="Times New Roman" w:hAnsi="Times New Roman" w:cs="Times New Roman"/>
          <w:sz w:val="28"/>
          <w:szCs w:val="28"/>
          <w:lang w:val="en-US"/>
        </w:rPr>
        <w:t>Ontology</w:t>
      </w:r>
      <w:r w:rsidR="009D49D9" w:rsidRPr="00E61ACD">
        <w:rPr>
          <w:rFonts w:ascii="Times New Roman" w:hAnsi="Times New Roman" w:cs="Times New Roman"/>
          <w:sz w:val="28"/>
          <w:szCs w:val="28"/>
        </w:rPr>
        <w:t xml:space="preserve"> (</w:t>
      </w:r>
      <w:r w:rsidR="009D49D9">
        <w:rPr>
          <w:rFonts w:ascii="Times New Roman" w:hAnsi="Times New Roman" w:cs="Times New Roman"/>
          <w:sz w:val="28"/>
          <w:szCs w:val="28"/>
          <w:lang w:val="en-US"/>
        </w:rPr>
        <w:t>GO</w:t>
      </w:r>
      <w:r w:rsidR="009D49D9" w:rsidRPr="00E61ACD">
        <w:rPr>
          <w:rFonts w:ascii="Times New Roman" w:hAnsi="Times New Roman" w:cs="Times New Roman"/>
          <w:sz w:val="28"/>
          <w:szCs w:val="28"/>
        </w:rPr>
        <w:t>) [9</w:t>
      </w:r>
      <w:r w:rsidR="00720CA9" w:rsidRPr="00E61ACD">
        <w:rPr>
          <w:rFonts w:ascii="Times New Roman" w:hAnsi="Times New Roman" w:cs="Times New Roman"/>
          <w:sz w:val="28"/>
          <w:szCs w:val="28"/>
        </w:rPr>
        <w:t>, 36-38</w:t>
      </w:r>
      <w:r w:rsidR="009D49D9" w:rsidRPr="00E61ACD">
        <w:rPr>
          <w:rFonts w:ascii="Times New Roman" w:hAnsi="Times New Roman" w:cs="Times New Roman"/>
          <w:sz w:val="28"/>
          <w:szCs w:val="28"/>
        </w:rPr>
        <w:t xml:space="preserve">]. </w:t>
      </w:r>
      <w:r w:rsidR="009D49D9" w:rsidRPr="009D49D9">
        <w:rPr>
          <w:rFonts w:ascii="Times New Roman" w:hAnsi="Times New Roman" w:cs="Times New Roman"/>
          <w:sz w:val="28"/>
          <w:szCs w:val="28"/>
        </w:rPr>
        <w:t xml:space="preserve">В связи с ограничениями категоризации по KEGG и GO </w:t>
      </w:r>
      <w:r w:rsidR="00720CA9">
        <w:rPr>
          <w:rFonts w:ascii="Times New Roman" w:hAnsi="Times New Roman" w:cs="Times New Roman"/>
          <w:sz w:val="28"/>
          <w:szCs w:val="28"/>
        </w:rPr>
        <w:t>[39]</w:t>
      </w:r>
      <w:r w:rsidR="009D49D9" w:rsidRPr="009D49D9">
        <w:rPr>
          <w:rFonts w:ascii="Times New Roman" w:hAnsi="Times New Roman" w:cs="Times New Roman"/>
          <w:sz w:val="28"/>
          <w:szCs w:val="28"/>
        </w:rPr>
        <w:t>развитие подходов функционального анализа продолжается</w:t>
      </w:r>
      <w:r w:rsidR="009D49D9">
        <w:rPr>
          <w:rFonts w:ascii="Times New Roman" w:hAnsi="Times New Roman" w:cs="Times New Roman"/>
          <w:sz w:val="28"/>
          <w:szCs w:val="28"/>
        </w:rPr>
        <w:t>, чт</w:t>
      </w:r>
      <w:r w:rsidR="00DB3EBC">
        <w:rPr>
          <w:rFonts w:ascii="Times New Roman" w:hAnsi="Times New Roman" w:cs="Times New Roman"/>
          <w:sz w:val="28"/>
          <w:szCs w:val="28"/>
        </w:rPr>
        <w:t>о находит отражение в обновлениях</w:t>
      </w:r>
      <w:r w:rsidR="00847A82">
        <w:rPr>
          <w:rFonts w:ascii="Times New Roman" w:hAnsi="Times New Roman" w:cs="Times New Roman"/>
          <w:sz w:val="28"/>
          <w:szCs w:val="28"/>
        </w:rPr>
        <w:t xml:space="preserve"> </w:t>
      </w:r>
      <w:r w:rsidR="009D49D9">
        <w:rPr>
          <w:rFonts w:ascii="Times New Roman" w:hAnsi="Times New Roman" w:cs="Times New Roman"/>
          <w:sz w:val="28"/>
          <w:szCs w:val="28"/>
          <w:lang w:val="en-US"/>
        </w:rPr>
        <w:t>Current</w:t>
      </w:r>
      <w:r w:rsidR="009D49D9" w:rsidRPr="00E61ACD">
        <w:rPr>
          <w:rFonts w:ascii="Times New Roman" w:hAnsi="Times New Roman" w:cs="Times New Roman"/>
          <w:sz w:val="28"/>
          <w:szCs w:val="28"/>
        </w:rPr>
        <w:t xml:space="preserve"> </w:t>
      </w:r>
      <w:r w:rsidR="009D49D9">
        <w:rPr>
          <w:rFonts w:ascii="Times New Roman" w:hAnsi="Times New Roman" w:cs="Times New Roman"/>
          <w:sz w:val="28"/>
          <w:szCs w:val="28"/>
          <w:lang w:val="en-US"/>
        </w:rPr>
        <w:t>Protocols</w:t>
      </w:r>
      <w:r w:rsidR="009D49D9" w:rsidRPr="00E61ACD">
        <w:rPr>
          <w:rFonts w:ascii="Times New Roman" w:hAnsi="Times New Roman" w:cs="Times New Roman"/>
          <w:sz w:val="28"/>
          <w:szCs w:val="28"/>
        </w:rPr>
        <w:t xml:space="preserve"> </w:t>
      </w:r>
      <w:r w:rsidR="009D49D9">
        <w:rPr>
          <w:rFonts w:ascii="Times New Roman" w:hAnsi="Times New Roman" w:cs="Times New Roman"/>
          <w:sz w:val="28"/>
          <w:szCs w:val="28"/>
          <w:lang w:val="en-US"/>
        </w:rPr>
        <w:t>in</w:t>
      </w:r>
      <w:r w:rsidR="009D49D9" w:rsidRPr="00E61ACD">
        <w:rPr>
          <w:rFonts w:ascii="Times New Roman" w:hAnsi="Times New Roman" w:cs="Times New Roman"/>
          <w:sz w:val="28"/>
          <w:szCs w:val="28"/>
        </w:rPr>
        <w:t xml:space="preserve"> </w:t>
      </w:r>
      <w:r w:rsidR="009D49D9">
        <w:rPr>
          <w:rFonts w:ascii="Times New Roman" w:hAnsi="Times New Roman" w:cs="Times New Roman"/>
          <w:sz w:val="28"/>
          <w:szCs w:val="28"/>
          <w:lang w:val="en-US"/>
        </w:rPr>
        <w:t>Bioinformatics</w:t>
      </w:r>
      <w:r w:rsidR="009D49D9" w:rsidRPr="00E61ACD">
        <w:rPr>
          <w:rFonts w:ascii="Times New Roman" w:hAnsi="Times New Roman" w:cs="Times New Roman"/>
          <w:sz w:val="28"/>
          <w:szCs w:val="28"/>
        </w:rPr>
        <w:t xml:space="preserve"> [</w:t>
      </w:r>
      <w:r w:rsidR="00720CA9" w:rsidRPr="00E61ACD">
        <w:rPr>
          <w:rFonts w:ascii="Times New Roman" w:hAnsi="Times New Roman" w:cs="Times New Roman"/>
          <w:sz w:val="28"/>
          <w:szCs w:val="28"/>
        </w:rPr>
        <w:t>40</w:t>
      </w:r>
      <w:r w:rsidR="009D49D9" w:rsidRPr="00E61ACD">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Подготовка данных к анализу регуляторных паттернов</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Так как цель транскриптомики - описание механизмов контроля генной экспрессии, обработка транскриптомных данных не заканчивается сопоставлением анализируемых экспериментальных групп. Наоборот, эта стадия работы с данными может в принципе отсутствовать, когда исследование направлено на выявление транскриптомных регуляторных паттернов</w:t>
      </w:r>
      <w:r w:rsidR="00194773">
        <w:rPr>
          <w:rFonts w:ascii="Times New Roman" w:hAnsi="Times New Roman" w:cs="Times New Roman"/>
          <w:sz w:val="28"/>
          <w:szCs w:val="28"/>
        </w:rPr>
        <w:t xml:space="preserve"> [5</w:t>
      </w:r>
      <w:r w:rsidR="00720CA9">
        <w:rPr>
          <w:rFonts w:ascii="Times New Roman" w:hAnsi="Times New Roman" w:cs="Times New Roman"/>
          <w:sz w:val="28"/>
          <w:szCs w:val="28"/>
        </w:rPr>
        <w:t>, 41</w:t>
      </w:r>
      <w:r w:rsidR="00194773">
        <w:rPr>
          <w:rFonts w:ascii="Times New Roman" w:hAnsi="Times New Roman" w:cs="Times New Roman"/>
          <w:sz w:val="28"/>
          <w:szCs w:val="28"/>
        </w:rPr>
        <w:t>]</w:t>
      </w:r>
      <w:r w:rsidRPr="00AB12CF">
        <w:rPr>
          <w:rFonts w:ascii="Times New Roman" w:hAnsi="Times New Roman" w:cs="Times New Roman"/>
          <w:sz w:val="28"/>
          <w:szCs w:val="28"/>
        </w:rPr>
        <w:t xml:space="preserve">. </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Перед началом анализа регуляторных паттернов может быть произведено дополнительное преобразование данных. Помимо стандартной лог-трансформации, могут быть применены понижение мерности, центрирование и </w:t>
      </w:r>
      <w:r w:rsidRPr="00AB12CF">
        <w:rPr>
          <w:rFonts w:ascii="Times New Roman" w:hAnsi="Times New Roman" w:cs="Times New Roman"/>
          <w:sz w:val="28"/>
          <w:szCs w:val="28"/>
        </w:rPr>
        <w:lastRenderedPageBreak/>
        <w:t>нормализация</w:t>
      </w:r>
      <w:r w:rsidR="00791169">
        <w:rPr>
          <w:rFonts w:ascii="Times New Roman" w:hAnsi="Times New Roman" w:cs="Times New Roman"/>
          <w:sz w:val="28"/>
          <w:szCs w:val="28"/>
        </w:rPr>
        <w:t xml:space="preserve"> [</w:t>
      </w:r>
      <w:r w:rsidR="00720CA9">
        <w:rPr>
          <w:rFonts w:ascii="Times New Roman" w:hAnsi="Times New Roman" w:cs="Times New Roman"/>
          <w:sz w:val="28"/>
          <w:szCs w:val="28"/>
        </w:rPr>
        <w:t>5, 42, 43</w:t>
      </w:r>
      <w:r w:rsidR="00791169">
        <w:rPr>
          <w:rFonts w:ascii="Times New Roman" w:hAnsi="Times New Roman" w:cs="Times New Roman"/>
          <w:sz w:val="28"/>
          <w:szCs w:val="28"/>
        </w:rPr>
        <w:t>]</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Понижение мерности - способ сокращения с минимальными потерями информации необходимого для описания данных количества измерений (параметров) (рисунок 8). </w:t>
      </w:r>
    </w:p>
    <w:p w:rsidR="00AB12CF" w:rsidRPr="00AB12CF" w:rsidRDefault="00AB12CF" w:rsidP="009B0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4330700" cy="22987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0700" cy="2298700"/>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8 - Иллюстрация принципа понижения мерности на примере PCA - метода главных компонент. На левом графике одного измерения достаточно для описания взаимоотношений между точками данных. На графике справа точки почти лежат на прямой, и эта условная прямая, принимаемая далее как достаточное измерение (ГК1) - главная компонента, может описать бóльшую часть взаимоотношений между точками [5].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К инструментам понижения мерности относятся метод главных компонент (линейный метод; PCA - principal component analysis; также может обозначаться SVD - singular value decomposition), метод самоорганизующихся карт (нелинейный метод; SOM - self-organizing maps), метод нелинейного снижения мерности по Roweis, Saul, Tenenbaum и соавторам (NDR - nonlinear dimensionality reduction).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Центрирование подразумевает смещение среднего или медианного значения экспрессионного профиля (значений экспрессии у N образцов) к </w:t>
      </w:r>
      <w:r w:rsidRPr="00AB12CF">
        <w:rPr>
          <w:rFonts w:ascii="Times New Roman" w:hAnsi="Times New Roman" w:cs="Times New Roman"/>
          <w:sz w:val="28"/>
          <w:szCs w:val="28"/>
        </w:rPr>
        <w:lastRenderedPageBreak/>
        <w:t xml:space="preserve">нулевому значению. Например, экспрессионный профиль 300, 500, 220 центрируется в профиль -40, 160, -120. Центрирование может изменять форму и амплитуду профилей.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Нормализация подразумевает сведение эвклидовых расстояний каждой точки к масштабу от точки пересечения осей координат до 1. Профиль 300, 500, 220 может быть нормализован в профиль 0.481, 0.802, 0.353. Нормализация не меняет формы профиля, но может изменить его амплитуду. Нормализация - интегральная часть нецентрального Пирсоновского коэффициента корреляции, о котором речь пойдет ниже. Расчет центрированного коэффициента корреляции Пирсона равносилен расчету нецентрированного варианта после проведения центрирования профилей.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При сравнении генов по образцам преобразования должны проводиться строго для значений экспрессии данного гена, а не для значений экспрессии всех генов в данном образце. При сравнении образцов по генам, наоборот, преобразования проводятся строго внутри образцов - для всех генов, но не для данного гена во всех образцах.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При совместном применении центрирования и нормализации, центрирование проводится первым.</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С точки зрения статистики использование нормализации и центрирования оправдано. С другой стороны, подобные манипуляции могут изменять биологическое значение профилей (рисунок 9).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lastRenderedPageBreak/>
        <w:drawing>
          <wp:inline distT="0" distB="0" distL="0" distR="0">
            <wp:extent cx="5486400" cy="34830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483067"/>
                    </a:xfrm>
                    <a:prstGeom prst="rect">
                      <a:avLst/>
                    </a:prstGeom>
                    <a:noFill/>
                    <a:ln>
                      <a:noFill/>
                    </a:ln>
                  </pic:spPr>
                </pic:pic>
              </a:graphicData>
            </a:graphic>
          </wp:inline>
        </w:drawing>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9 - Эффекты центрирования и нормализации на различные экспрессионные профили [5]. </w:t>
      </w: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Как видно на рисунке 9 центрирование и нормализация могут приводить к сведению нескольких абсолютно разных с биологической точки зрения профилей к одному виду. Кроме того, центрирование лог-трансформированных данных может приводить к смене знака при некоторых значениях в профиле. При использовании метода определения Эвклидова расстояния (</w:t>
      </w:r>
      <w:r w:rsidR="00270D8F">
        <w:rPr>
          <w:rFonts w:ascii="Times New Roman" w:hAnsi="Times New Roman" w:cs="Times New Roman"/>
          <w:sz w:val="28"/>
          <w:szCs w:val="28"/>
        </w:rPr>
        <w:t>принцип этого анализа</w:t>
      </w:r>
      <w:r w:rsidRPr="00AB12CF">
        <w:rPr>
          <w:rFonts w:ascii="Times New Roman" w:hAnsi="Times New Roman" w:cs="Times New Roman"/>
          <w:sz w:val="28"/>
          <w:szCs w:val="28"/>
        </w:rPr>
        <w:t xml:space="preserve"> описан ниже) нормализация в принципе не должна применяться.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Таким образом, выбор подхода к преобразованию данных, оценка необходимости этого пре-кластеризационного этапа обработки данных зависит от дизайна эксперимента и выбранных последующих биоинформационных шагов.</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Кластеризация как способ определения регуляторных паттернов</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Принципы, лежащие в основе компьютерных алгоритмов определения регуляторных паттернов, как правило, основаны на оценке распределения данных в n-мерном Эвклидовом пространстве. Например, если анализируется набор генов в трех образцах, профиль экспрессии каждого гена может быть выражен точкой в трехмерном пространстве, где каждая ось координат - уровень экспрессии гена в одном из образцов. То есть, в трехмерном пространстве экспрессия гена будет занимать точку с координатами, представляющими собой уровень экспрессии его в каждом образце.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Сравнение двух генов при таком подходе может дать информацию об их регуляции: чем ближе точки-гены находятся в n-мерном пространстве, тем более схожие экспрессионные профили они имеют. Расстояние между точками n-мерного пространства может быть определено как минимум двумя способами: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1. Дистанционная метрика - определение Эвклидова расстояния между точками: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1333500" cy="5461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3500" cy="546100"/>
                    </a:xfrm>
                    <a:prstGeom prst="rect">
                      <a:avLst/>
                    </a:prstGeom>
                    <a:noFill/>
                    <a:ln>
                      <a:noFill/>
                    </a:ln>
                  </pic:spPr>
                </pic:pic>
              </a:graphicData>
            </a:graphic>
          </wp:inline>
        </w:drawing>
      </w:r>
      <w:r w:rsidRPr="00AB12CF">
        <w:rPr>
          <w:rFonts w:ascii="Times New Roman" w:hAnsi="Times New Roman" w:cs="Times New Roman"/>
          <w:sz w:val="28"/>
          <w:szCs w:val="28"/>
        </w:rPr>
        <w:t>, где</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D - расстояние между двумя точками a и b в n-мерном пространстве; </w:t>
      </w:r>
    </w:p>
    <w:p w:rsidR="00AB12CF" w:rsidRPr="00AB12CF" w:rsidRDefault="00AB12CF" w:rsidP="00AB12CF">
      <w:pPr>
        <w:widowControl w:val="0"/>
        <w:numPr>
          <w:ilvl w:val="0"/>
          <w:numId w:val="5"/>
        </w:numPr>
        <w:tabs>
          <w:tab w:val="left" w:pos="851"/>
          <w:tab w:val="left" w:pos="1151"/>
        </w:tabs>
        <w:autoSpaceDE w:val="0"/>
        <w:autoSpaceDN w:val="0"/>
        <w:adjustRightInd w:val="0"/>
        <w:ind w:left="600" w:hanging="49"/>
        <w:rPr>
          <w:rFonts w:ascii="Times New Roman" w:hAnsi="Times New Roman" w:cs="Times New Roman"/>
          <w:sz w:val="28"/>
          <w:szCs w:val="28"/>
        </w:rPr>
      </w:pPr>
      <w:r w:rsidRPr="00AB12CF">
        <w:rPr>
          <w:rFonts w:ascii="Times New Roman" w:hAnsi="Times New Roman" w:cs="Times New Roman"/>
          <w:sz w:val="28"/>
          <w:szCs w:val="28"/>
        </w:rPr>
        <w:t>С помощью нецентрального коэффициента корреляции Пирсона - эквивалента косинуса угла между двумя точками с вершиной в точке пересечения осей координат:</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1358900" cy="10287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58900" cy="1028700"/>
                    </a:xfrm>
                    <a:prstGeom prst="rect">
                      <a:avLst/>
                    </a:prstGeom>
                    <a:noFill/>
                    <a:ln>
                      <a:noFill/>
                    </a:ln>
                  </pic:spPr>
                </pic:pic>
              </a:graphicData>
            </a:graphic>
          </wp:inline>
        </w:drawing>
      </w:r>
      <w:r w:rsidRPr="00AB12CF">
        <w:rPr>
          <w:rFonts w:ascii="Times New Roman" w:hAnsi="Times New Roman" w:cs="Times New Roman"/>
          <w:sz w:val="28"/>
          <w:szCs w:val="28"/>
        </w:rPr>
        <w:t>, где</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R - коэффициент корреляции Пирсона, a и b - точки в n-мерном пространстве.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lastRenderedPageBreak/>
        <w:t xml:space="preserve">В векторном выражении эта формула имеет вид: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1104900" cy="6350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4900" cy="635000"/>
                    </a:xfrm>
                    <a:prstGeom prst="rect">
                      <a:avLst/>
                    </a:prstGeom>
                    <a:noFill/>
                    <a:ln>
                      <a:noFill/>
                    </a:ln>
                  </pic:spPr>
                </pic:pic>
              </a:graphicData>
            </a:graphic>
          </wp:inline>
        </w:drawing>
      </w:r>
      <w:r w:rsidRPr="00AB12CF">
        <w:rPr>
          <w:rFonts w:ascii="Times New Roman" w:hAnsi="Times New Roman" w:cs="Times New Roman"/>
          <w:sz w:val="28"/>
          <w:szCs w:val="28"/>
        </w:rPr>
        <w:t xml:space="preserve">, т.е. ничто иное, как векторную формулу косинуса. </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Если группа генов образует плотное скопление, эта группа может считаться кластером сходно регулируемых генов. А значит, нахождение кластера сходно регулируемых генов является задачей математического обнаружения находящихся рядом в пространстве точек. Количество образцов, которые могут быть использованы для обнаружения кластеров регуляции, не ограничивается трехмерным пространством. Хотя представить n-мерное Эвклидово пространство сложно визуально, для обработки данных в нем нет препятствий. После расчета расстояний между генами в n-мерном пространстве, применяются различные подходы к кластеризации точек в пространстве. Часто используемый подход - агломерационная иерархическая кластеризация (рисунок 10).</w:t>
      </w:r>
    </w:p>
    <w:p w:rsidR="00847A82" w:rsidRPr="00AB12CF" w:rsidRDefault="00847A82" w:rsidP="0084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Среди всего набора точек выбираются две, имеющие наименьшее расстояние между ними, после чего точки соединяются. Объединенные точки теперь считаются узлом, анализируемым далее как обычная точка пространства. Положение узлов на соединяющей линии может определяться различными способами: как средняя точка на соединяющем отрезке; наиболее удаленная (из уже соединенных точек) от следующей, потенциально включаемой в узел; самая близкая (из уже соединенных точек) к следующей, потенциально включаемой в узел. </w:t>
      </w:r>
    </w:p>
    <w:p w:rsidR="00847A82" w:rsidRPr="00AB12CF" w:rsidRDefault="00847A82" w:rsidP="0084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Агломерационная иерархическая кластеризация эффективна при низкоуровневом анализе, однако с ростом узлов достаточно сходные точки могут оказаться в разных ветвях дерева иерархии. </w:t>
      </w:r>
    </w:p>
    <w:p w:rsidR="00847A82" w:rsidRPr="00AB12CF"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lastRenderedPageBreak/>
        <w:drawing>
          <wp:inline distT="0" distB="0" distL="0" distR="0">
            <wp:extent cx="5358539" cy="41148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58539" cy="4114800"/>
                    </a:xfrm>
                    <a:prstGeom prst="rect">
                      <a:avLst/>
                    </a:prstGeom>
                    <a:noFill/>
                    <a:ln>
                      <a:noFill/>
                    </a:ln>
                  </pic:spPr>
                </pic:pic>
              </a:graphicData>
            </a:graphic>
          </wp:inline>
        </w:drawing>
      </w:r>
    </w:p>
    <w:p w:rsidR="00847A82" w:rsidRDefault="00847A82"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10 - Пример агломерационной иерархической кластеризации [5].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Друг</w:t>
      </w:r>
      <w:r w:rsidR="005273C2">
        <w:rPr>
          <w:rFonts w:ascii="Times New Roman" w:hAnsi="Times New Roman" w:cs="Times New Roman"/>
          <w:sz w:val="28"/>
          <w:szCs w:val="28"/>
        </w:rPr>
        <w:t>ой подход</w:t>
      </w:r>
      <w:r w:rsidRPr="00AB12CF">
        <w:rPr>
          <w:rFonts w:ascii="Times New Roman" w:hAnsi="Times New Roman" w:cs="Times New Roman"/>
          <w:sz w:val="28"/>
          <w:szCs w:val="28"/>
        </w:rPr>
        <w:t xml:space="preserve">, используемым для выявления регуляторных паттернов, </w:t>
      </w:r>
      <w:r w:rsidR="005273C2">
        <w:rPr>
          <w:rFonts w:ascii="Times New Roman" w:hAnsi="Times New Roman" w:cs="Times New Roman"/>
          <w:sz w:val="28"/>
          <w:szCs w:val="28"/>
        </w:rPr>
        <w:t xml:space="preserve">представлен обширной группой алгоритмов кластеризации методом </w:t>
      </w:r>
      <w:r w:rsidRPr="00AB12CF">
        <w:rPr>
          <w:rFonts w:ascii="Times New Roman" w:hAnsi="Times New Roman" w:cs="Times New Roman"/>
          <w:sz w:val="28"/>
          <w:szCs w:val="28"/>
        </w:rPr>
        <w:t>К-</w:t>
      </w:r>
      <w:r w:rsidR="005273C2">
        <w:rPr>
          <w:rFonts w:ascii="Times New Roman" w:hAnsi="Times New Roman" w:cs="Times New Roman"/>
          <w:sz w:val="28"/>
          <w:szCs w:val="28"/>
        </w:rPr>
        <w:t xml:space="preserve">средних </w:t>
      </w:r>
      <w:r w:rsidRPr="00AB12CF">
        <w:rPr>
          <w:rFonts w:ascii="Times New Roman" w:hAnsi="Times New Roman" w:cs="Times New Roman"/>
          <w:sz w:val="28"/>
          <w:szCs w:val="28"/>
        </w:rPr>
        <w:t>(рисунок 11)</w:t>
      </w:r>
      <w:r w:rsidR="005273C2">
        <w:rPr>
          <w:rFonts w:ascii="Times New Roman" w:hAnsi="Times New Roman" w:cs="Times New Roman"/>
          <w:sz w:val="28"/>
          <w:szCs w:val="28"/>
        </w:rPr>
        <w:t xml:space="preserve"> [</w:t>
      </w:r>
      <w:r w:rsidR="00720CA9">
        <w:rPr>
          <w:rFonts w:ascii="Times New Roman" w:hAnsi="Times New Roman" w:cs="Times New Roman"/>
          <w:sz w:val="28"/>
          <w:szCs w:val="28"/>
        </w:rPr>
        <w:t>44</w:t>
      </w:r>
      <w:r w:rsidR="005273C2">
        <w:rPr>
          <w:rFonts w:ascii="Times New Roman" w:hAnsi="Times New Roman" w:cs="Times New Roman"/>
          <w:sz w:val="28"/>
          <w:szCs w:val="28"/>
        </w:rPr>
        <w:t>]</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5486400" cy="202609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026098"/>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11 </w:t>
      </w:r>
      <w:r w:rsidR="005273C2">
        <w:rPr>
          <w:rFonts w:ascii="Times New Roman" w:hAnsi="Times New Roman" w:cs="Times New Roman"/>
          <w:sz w:val="28"/>
          <w:szCs w:val="28"/>
        </w:rPr>
        <w:t>–</w:t>
      </w:r>
      <w:r w:rsidRPr="00AB12CF">
        <w:rPr>
          <w:rFonts w:ascii="Times New Roman" w:hAnsi="Times New Roman" w:cs="Times New Roman"/>
          <w:sz w:val="28"/>
          <w:szCs w:val="28"/>
        </w:rPr>
        <w:t xml:space="preserve"> Последовательная</w:t>
      </w:r>
      <w:r w:rsidR="005273C2">
        <w:rPr>
          <w:rFonts w:ascii="Times New Roman" w:hAnsi="Times New Roman" w:cs="Times New Roman"/>
          <w:sz w:val="28"/>
          <w:szCs w:val="28"/>
        </w:rPr>
        <w:t xml:space="preserve"> кластеризация методом</w:t>
      </w:r>
      <w:r w:rsidRPr="00AB12CF">
        <w:rPr>
          <w:rFonts w:ascii="Times New Roman" w:hAnsi="Times New Roman" w:cs="Times New Roman"/>
          <w:sz w:val="28"/>
          <w:szCs w:val="28"/>
        </w:rPr>
        <w:t xml:space="preserve"> К-</w:t>
      </w:r>
      <w:r w:rsidR="005273C2">
        <w:rPr>
          <w:rFonts w:ascii="Times New Roman" w:hAnsi="Times New Roman" w:cs="Times New Roman"/>
          <w:sz w:val="28"/>
          <w:szCs w:val="28"/>
        </w:rPr>
        <w:t>средних</w:t>
      </w:r>
      <w:r w:rsidRPr="00AB12CF">
        <w:rPr>
          <w:rFonts w:ascii="Times New Roman" w:hAnsi="Times New Roman" w:cs="Times New Roman"/>
          <w:sz w:val="28"/>
          <w:szCs w:val="28"/>
        </w:rPr>
        <w:t xml:space="preserve">. Точки и </w:t>
      </w:r>
      <w:r w:rsidRPr="00AB12CF">
        <w:rPr>
          <w:rFonts w:ascii="Times New Roman" w:hAnsi="Times New Roman" w:cs="Times New Roman"/>
          <w:sz w:val="28"/>
          <w:szCs w:val="28"/>
        </w:rPr>
        <w:lastRenderedPageBreak/>
        <w:t xml:space="preserve">окружности - данные. Круги с крестом - центроиды [5].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В данном случае количество потенциальных кластеров определяется исследователем. Каждый кластер данных представляется центроидом. Сначала в пространстве данных располагается К центроидов, затем проводится многократная пошаговая оптимизация отнесения каждой точки к К-тому центроиду и самого положения центроида. Стратегии позиционирования центроида и определения принадлежности точки к кластеру полностью выбираются исследователем. Результативность метода К-кластеризации зависит от выбранных параметров операции и изначального расположения центроидов. К-кластеры обычно хорошо ограничены, и границы их стремятся к форме гиперсферы. Поэтому К-кластеризация наиболее подходит как раз для определения или описания явных кластеров.</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Способом кластеризации данных, облегчающим визуальное восприятие результатов и их анализ, является построение сетей. В данном случае исследователь выбирает критическое расстояние, точки находящиеся в пределах которого будут соединяться, а вне его - нет (рисунок 12). Выбор критического расстояния на практике проводится с использованием статистического анализа вероятностей выявления кластера.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imes New Roman" w:hAnsi="Times New Roman" w:cs="Times New Roman"/>
          <w:sz w:val="28"/>
          <w:szCs w:val="28"/>
        </w:rPr>
      </w:pPr>
      <w:r w:rsidRPr="00AB12CF">
        <w:rPr>
          <w:rFonts w:ascii="Helvetica" w:hAnsi="Helvetica" w:cs="Helvetica"/>
          <w:noProof/>
          <w:kern w:val="1"/>
          <w:lang w:eastAsia="ru-RU"/>
        </w:rPr>
        <w:drawing>
          <wp:inline distT="0" distB="0" distL="0" distR="0">
            <wp:extent cx="5486400" cy="17529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1752916"/>
                    </a:xfrm>
                    <a:prstGeom prst="rect">
                      <a:avLst/>
                    </a:prstGeom>
                    <a:noFill/>
                    <a:ln>
                      <a:noFill/>
                    </a:ln>
                  </pic:spPr>
                </pic:pic>
              </a:graphicData>
            </a:graphic>
          </wp:inline>
        </w:drawing>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sz w:val="28"/>
          <w:szCs w:val="28"/>
        </w:rPr>
      </w:pPr>
      <w:r w:rsidRPr="00AB12CF">
        <w:rPr>
          <w:rFonts w:ascii="Times New Roman" w:hAnsi="Times New Roman" w:cs="Times New Roman"/>
          <w:sz w:val="28"/>
          <w:szCs w:val="28"/>
        </w:rPr>
        <w:t xml:space="preserve">Рисунок 12 - Кластеризация методом построения сети [5]. </w:t>
      </w:r>
    </w:p>
    <w:p w:rsidR="00AB12CF" w:rsidRPr="007F2BB1" w:rsidRDefault="00AB12CF" w:rsidP="007F2B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lastRenderedPageBreak/>
        <w:t xml:space="preserve">Когда группа точек имеет большое количество внутренних соединений, ее легче распознать как кластер. Существует ряд программных продуктов для построения сетей на основе экспрессионных данных, например Pajek (http://vlado.fmf.uni-lj.si/pub/networks/pajek/) и VxInsight (http://www.cs.sandia.gov/projects/VxInsight.html) [5]. </w:t>
      </w:r>
    </w:p>
    <w:p w:rsidR="007F2BB1" w:rsidRPr="00AB12CF" w:rsidRDefault="007F2BB1"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Транскриптомика - биоинформатике и геномике: картирование генов и границ экзонов</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Методы, работающие с разрешением в 1 нуклеотид, могут быть использованы для определения границ генов и интронов уже известных генов, а также идентификации ранее неизвестных транскрибируемых локусов. 5′- и 3′- границы могут быть картированы в пределах от 10 до 50 нт по резкому падению сигнала. 3′-граница может быть точно определена по поли-(А) районам или сигналам, а интроны в простых транскриптомных системах могут быть определены по консенсусным сайтам стыковки экзонов [2].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С помощью новых техник транскриптомного анализа у дрожжей (</w:t>
      </w:r>
      <w:r w:rsidRPr="00AB12CF">
        <w:rPr>
          <w:rFonts w:ascii="Times New Roman" w:hAnsi="Times New Roman" w:cs="Times New Roman"/>
          <w:i/>
          <w:iCs/>
          <w:sz w:val="28"/>
          <w:szCs w:val="28"/>
        </w:rPr>
        <w:t>S. cerevisae</w:t>
      </w:r>
      <w:r w:rsidRPr="00AB12CF">
        <w:rPr>
          <w:rFonts w:ascii="Times New Roman" w:hAnsi="Times New Roman" w:cs="Times New Roman"/>
          <w:sz w:val="28"/>
          <w:szCs w:val="28"/>
        </w:rPr>
        <w:t>) были обнаружены особенности (гетерогенность чтения) организации 3’-концов ряда генов, позволяющие предположить функциональную значимость различных вариантов 3’-концов: возможно, 3’-концевые варианты транскрипт-вариантов генов представляют собой локализационные или деградационные сигнальные последовательности</w:t>
      </w:r>
      <w:r w:rsidR="00720CA9">
        <w:rPr>
          <w:rFonts w:ascii="Times New Roman" w:hAnsi="Times New Roman" w:cs="Times New Roman"/>
          <w:sz w:val="28"/>
          <w:szCs w:val="28"/>
        </w:rPr>
        <w:t xml:space="preserve"> [45, 46]</w:t>
      </w:r>
      <w:r w:rsidRPr="00AB12CF">
        <w:rPr>
          <w:rFonts w:ascii="Times New Roman" w:hAnsi="Times New Roman" w:cs="Times New Roman"/>
          <w:sz w:val="28"/>
          <w:szCs w:val="28"/>
        </w:rPr>
        <w:t>. Также был значительно расширен спектр известных вышележащих рамок считывания 5’-НТО (uORF), которые регулируют ход трансляции или стабильность мРНК и которые, видимо, играют ранее недооцененную роль в регуляции генной экспрессии у эукариот [2</w:t>
      </w:r>
      <w:r w:rsidR="00720CA9">
        <w:rPr>
          <w:rFonts w:ascii="Times New Roman" w:hAnsi="Times New Roman" w:cs="Times New Roman"/>
          <w:sz w:val="28"/>
          <w:szCs w:val="28"/>
        </w:rPr>
        <w:t>, 47</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Картирование границ транскриптов позволило по-новому взглянуть на организацию генома эукариот. У дрожжей многие открытые рамки считывания (около 25%) пересекаются в 3’-областях. У мышей наблюдается повышенный </w:t>
      </w:r>
      <w:r w:rsidRPr="00AB12CF">
        <w:rPr>
          <w:rFonts w:ascii="Times New Roman" w:hAnsi="Times New Roman" w:cs="Times New Roman"/>
          <w:sz w:val="28"/>
          <w:szCs w:val="28"/>
        </w:rPr>
        <w:lastRenderedPageBreak/>
        <w:t>уровень антисенс-экспрессии в 3’-областях генов</w:t>
      </w:r>
      <w:r w:rsidR="005273C2">
        <w:rPr>
          <w:rFonts w:ascii="Times New Roman" w:hAnsi="Times New Roman" w:cs="Times New Roman"/>
          <w:sz w:val="28"/>
          <w:szCs w:val="28"/>
        </w:rPr>
        <w:t>[</w:t>
      </w:r>
      <w:r w:rsidR="00720CA9">
        <w:rPr>
          <w:rFonts w:ascii="Times New Roman" w:hAnsi="Times New Roman" w:cs="Times New Roman"/>
          <w:sz w:val="28"/>
          <w:szCs w:val="28"/>
        </w:rPr>
        <w:t>48</w:t>
      </w:r>
      <w:r w:rsidR="005273C2">
        <w:rPr>
          <w:rFonts w:ascii="Times New Roman" w:hAnsi="Times New Roman" w:cs="Times New Roman"/>
          <w:sz w:val="28"/>
          <w:szCs w:val="28"/>
        </w:rPr>
        <w:t>]</w:t>
      </w:r>
      <w:r w:rsidRPr="00AB12CF">
        <w:rPr>
          <w:rFonts w:ascii="Times New Roman" w:hAnsi="Times New Roman" w:cs="Times New Roman"/>
          <w:sz w:val="28"/>
          <w:szCs w:val="28"/>
        </w:rPr>
        <w:t xml:space="preserve">. </w:t>
      </w:r>
      <w:r w:rsidR="000441A1">
        <w:rPr>
          <w:rFonts w:ascii="Times New Roman" w:hAnsi="Times New Roman" w:cs="Times New Roman"/>
          <w:sz w:val="28"/>
          <w:szCs w:val="28"/>
        </w:rPr>
        <w:t>Обнаруженные</w:t>
      </w:r>
      <w:r w:rsidRPr="00AB12CF">
        <w:rPr>
          <w:rFonts w:ascii="Times New Roman" w:hAnsi="Times New Roman" w:cs="Times New Roman"/>
          <w:sz w:val="28"/>
          <w:szCs w:val="28"/>
        </w:rPr>
        <w:t xml:space="preserve"> особенности </w:t>
      </w:r>
      <w:r w:rsidR="000441A1">
        <w:rPr>
          <w:rFonts w:ascii="Times New Roman" w:hAnsi="Times New Roman" w:cs="Times New Roman"/>
          <w:sz w:val="28"/>
          <w:szCs w:val="28"/>
        </w:rPr>
        <w:t xml:space="preserve">организации и активности генома у дрожжей и мышей </w:t>
      </w:r>
      <w:r w:rsidRPr="00AB12CF">
        <w:rPr>
          <w:rFonts w:ascii="Times New Roman" w:hAnsi="Times New Roman" w:cs="Times New Roman"/>
          <w:sz w:val="28"/>
          <w:szCs w:val="28"/>
        </w:rPr>
        <w:t xml:space="preserve">могут </w:t>
      </w:r>
      <w:r w:rsidR="000441A1">
        <w:rPr>
          <w:rFonts w:ascii="Times New Roman" w:hAnsi="Times New Roman" w:cs="Times New Roman"/>
          <w:sz w:val="28"/>
          <w:szCs w:val="28"/>
        </w:rPr>
        <w:t xml:space="preserve">обеспечивать регуляцию </w:t>
      </w:r>
      <w:r w:rsidRPr="00AB12CF">
        <w:rPr>
          <w:rFonts w:ascii="Times New Roman" w:hAnsi="Times New Roman" w:cs="Times New Roman"/>
          <w:sz w:val="28"/>
          <w:szCs w:val="28"/>
        </w:rPr>
        <w:t xml:space="preserve">экспрессии генов </w:t>
      </w:r>
      <w:r w:rsidR="000441A1">
        <w:rPr>
          <w:rFonts w:ascii="Times New Roman" w:hAnsi="Times New Roman" w:cs="Times New Roman"/>
          <w:sz w:val="28"/>
          <w:szCs w:val="28"/>
        </w:rPr>
        <w:t>эукариот пока неизвестными способами</w:t>
      </w:r>
      <w:r w:rsidRPr="00AB12CF">
        <w:rPr>
          <w:rFonts w:ascii="Times New Roman" w:hAnsi="Times New Roman" w:cs="Times New Roman"/>
          <w:sz w:val="28"/>
          <w:szCs w:val="28"/>
        </w:rPr>
        <w:t xml:space="preserve"> [2</w:t>
      </w:r>
      <w:r w:rsidR="000441A1" w:rsidRPr="00E61ACD">
        <w:rPr>
          <w:rFonts w:ascii="Times New Roman" w:hAnsi="Times New Roman" w:cs="Times New Roman"/>
          <w:sz w:val="28"/>
          <w:szCs w:val="28"/>
        </w:rPr>
        <w:t xml:space="preserve">; </w:t>
      </w:r>
      <w:r w:rsidR="00720CA9" w:rsidRPr="00E61ACD">
        <w:rPr>
          <w:rFonts w:ascii="Times New Roman" w:hAnsi="Times New Roman" w:cs="Times New Roman"/>
          <w:sz w:val="28"/>
          <w:szCs w:val="28"/>
        </w:rPr>
        <w:t>49</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С помощью RNA-Seq у человека в 2008 году группой Sultan и коллег [</w:t>
      </w:r>
      <w:r w:rsidR="00720CA9">
        <w:rPr>
          <w:rFonts w:ascii="Times New Roman" w:hAnsi="Times New Roman" w:cs="Times New Roman"/>
          <w:sz w:val="28"/>
          <w:szCs w:val="28"/>
        </w:rPr>
        <w:t>50</w:t>
      </w:r>
      <w:r w:rsidRPr="00AB12CF">
        <w:rPr>
          <w:rFonts w:ascii="Times New Roman" w:hAnsi="Times New Roman" w:cs="Times New Roman"/>
          <w:sz w:val="28"/>
          <w:szCs w:val="28"/>
        </w:rPr>
        <w:t xml:space="preserve">] были картированы 94241 стыков экзонов, из них 4096 были обнаружены впервые. В том же исследовании наиболее часто встречающейся формой альтернативного сплайсинга был пропуск экзонов [2, </w:t>
      </w:r>
      <w:r w:rsidR="00720CA9">
        <w:rPr>
          <w:rFonts w:ascii="Times New Roman" w:hAnsi="Times New Roman" w:cs="Times New Roman"/>
          <w:sz w:val="28"/>
          <w:szCs w:val="28"/>
        </w:rPr>
        <w:t>50</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Применение RNA-Seq и высокоплотных геномных транскриптомных  tiling-чипов привело к увеличению количества известных транскрибируемых областей. 30-40% новых транскриптов (их границы не всегда определены) картируются на локусы, ранее считавшиеся молчащими [2, </w:t>
      </w:r>
      <w:r w:rsidR="00720CA9">
        <w:rPr>
          <w:rFonts w:ascii="Times New Roman" w:hAnsi="Times New Roman" w:cs="Times New Roman"/>
          <w:sz w:val="28"/>
          <w:szCs w:val="28"/>
        </w:rPr>
        <w:t>51</w:t>
      </w:r>
      <w:r w:rsidRPr="00AB12CF">
        <w:rPr>
          <w:rFonts w:ascii="Times New Roman" w:hAnsi="Times New Roman" w:cs="Times New Roman"/>
          <w:sz w:val="28"/>
          <w:szCs w:val="28"/>
        </w:rPr>
        <w:t xml:space="preserve">].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t>Заключение</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Транскриптом промежуточен между статичностью генома (как последовательности нуклеотидов) и динамичностью и чрезвычайным многообразием протеома. Такое положение транскриптома в общей иерархии клеточных квазисистем (квази - так как клетка “вертикальна”, а не “горизонтальна”, и в каждую систему клетки входят элементы эпигенома, генома, транскриптома, протеома и метаболома - звеньев интерактома) делает его удобным предметом для изучения механизмов регуляции генетической информации, механизмов адаптации клетки к условиям среды и взаимосвязи, взаимодействия этих механизмов. Получение информации о функциональной структуре генома невозможно без транскриптомики. </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По завершению проекта “Геном человека” примерно 95% генома считались некодирующими, а количество генов достигало 30-35 тысяч и сокращалось по некоторым оценкам до 20 тысяч. На момент написания данного </w:t>
      </w:r>
      <w:r w:rsidRPr="00AB12CF">
        <w:rPr>
          <w:rFonts w:ascii="Times New Roman" w:hAnsi="Times New Roman" w:cs="Times New Roman"/>
          <w:sz w:val="28"/>
          <w:szCs w:val="28"/>
        </w:rPr>
        <w:lastRenderedPageBreak/>
        <w:t>раздела описано уже 21.9 тыс. белок-кодирующих генов, 71 тыс. РНК-генов, 17.2 тыс. псевдогенов и 2.4 тыс. некатегоризированных локусов (GeneCards), т.е. более 110 тысяч генов. Такое быстрое и значительное изменение оценки структуры генома было бы невозможно без мощного и массового развития технологий анализа транскриптома. Скорость развития технологий, в свою очередь, во многом обусловлена теми перспективами и возможностями, которые изучение транскриптома открывает для человечества.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Транскриптомика сегодня - одна из самых быстро развивающихся областей знания, по крайней мере, в технологическом смысле. Поэтому исследователи, намеревающиеся принять участие в изучении транскриптома должны быть готовы к интенсивному изучению не только теоретических основ, но и технологических подходов современной молекулярной биологии. В случае транскриптомики к ее технологиям относятся все стадии экспериментальной и аналитической работы - от дизайна эксперимента и выделения РНК и до статистической (анализ регистрации экспрессии или отличий в генной экспрессии) и пост-статистической статистической (пермутационное тестирование  [5]</w:t>
      </w:r>
      <w:r w:rsidR="00C41E65">
        <w:rPr>
          <w:rFonts w:ascii="Times New Roman" w:hAnsi="Times New Roman" w:cs="Times New Roman"/>
          <w:sz w:val="28"/>
          <w:szCs w:val="28"/>
        </w:rPr>
        <w:t>)</w:t>
      </w:r>
      <w:r w:rsidRPr="00AB12CF">
        <w:rPr>
          <w:rFonts w:ascii="Times New Roman" w:hAnsi="Times New Roman" w:cs="Times New Roman"/>
          <w:sz w:val="28"/>
          <w:szCs w:val="28"/>
        </w:rPr>
        <w:t xml:space="preserve"> обработки результатов. Методических подходов для каждого этапа транскриптомного исследования становится все больше, и базовые идеи, изложенные в настоящем пособии, в обязательном порядке должны дополняться самыми современными данными, публикуемыми в печати и представляемыми разработчиками технологических платформ.</w:t>
      </w: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Pr="00AB12C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Приложение 1. Рекомендуемые ресурсы для подготовки к проведению транскриптомного эксперимента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Информационные базы и базы протоколов: </w:t>
      </w:r>
    </w:p>
    <w:p w:rsidR="00AB12CF" w:rsidRPr="00AB12CF"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jc w:val="left"/>
        <w:rPr>
          <w:rFonts w:ascii="Times New Roman" w:hAnsi="Times New Roman" w:cs="Times New Roman"/>
          <w:sz w:val="20"/>
          <w:szCs w:val="20"/>
        </w:rPr>
      </w:pPr>
      <w:r w:rsidRPr="00AB12CF">
        <w:rPr>
          <w:rFonts w:ascii="Times New Roman" w:hAnsi="Times New Roman" w:cs="Times New Roman"/>
          <w:sz w:val="28"/>
          <w:szCs w:val="28"/>
        </w:rPr>
        <w:t xml:space="preserve"> BioGPS: biogps.org</w:t>
      </w:r>
    </w:p>
    <w:p w:rsidR="00AB12CF" w:rsidRPr="00AB12CF"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EMBL: embl.org</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Gene: ncbi.nlm.nih.gov/gene/</w:t>
      </w:r>
    </w:p>
    <w:p w:rsidR="00AB12CF" w:rsidRPr="00AB12CF"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E61ACD">
        <w:rPr>
          <w:rFonts w:ascii="Times New Roman" w:hAnsi="Times New Roman" w:cs="Times New Roman"/>
          <w:sz w:val="28"/>
          <w:szCs w:val="28"/>
          <w:lang w:val="en-US"/>
        </w:rPr>
        <w:t xml:space="preserve"> </w:t>
      </w:r>
      <w:r w:rsidRPr="00AB12CF">
        <w:rPr>
          <w:rFonts w:ascii="Times New Roman" w:hAnsi="Times New Roman" w:cs="Times New Roman"/>
          <w:sz w:val="28"/>
          <w:szCs w:val="28"/>
        </w:rPr>
        <w:t>Genecards: genecards.org</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Geo DataSets: ncbi.nlm.nih.gov/gds/</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GeoProfiles: ncbi.nlm.nih.gov/geoprofiles</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PMC: ncbi.nlm.nih.gov/pmc</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PubMed: ncbi.nlm.nih.gov/pubmed/</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w:t>
      </w:r>
      <w:r w:rsidRPr="00AB12CF">
        <w:rPr>
          <w:rFonts w:ascii="Times New Roman" w:hAnsi="Times New Roman" w:cs="Times New Roman"/>
          <w:sz w:val="28"/>
          <w:szCs w:val="28"/>
        </w:rPr>
        <w:t>Обновляемые</w:t>
      </w:r>
      <w:r w:rsidRPr="00E61ACD">
        <w:rPr>
          <w:rFonts w:ascii="Times New Roman" w:hAnsi="Times New Roman" w:cs="Times New Roman"/>
          <w:sz w:val="28"/>
          <w:szCs w:val="28"/>
          <w:lang w:val="en-US"/>
        </w:rPr>
        <w:t xml:space="preserve"> </w:t>
      </w:r>
      <w:r w:rsidRPr="00AB12CF">
        <w:rPr>
          <w:rFonts w:ascii="Times New Roman" w:hAnsi="Times New Roman" w:cs="Times New Roman"/>
          <w:sz w:val="28"/>
          <w:szCs w:val="28"/>
        </w:rPr>
        <w:t>материалы</w:t>
      </w:r>
      <w:r w:rsidRPr="00E61ACD">
        <w:rPr>
          <w:rFonts w:ascii="Times New Roman" w:hAnsi="Times New Roman" w:cs="Times New Roman"/>
          <w:sz w:val="28"/>
          <w:szCs w:val="28"/>
          <w:lang w:val="en-US"/>
        </w:rPr>
        <w:t xml:space="preserve"> Current Protocols in Bioinformatics</w:t>
      </w:r>
    </w:p>
    <w:p w:rsidR="00AB12CF" w:rsidRPr="00E61ACD" w:rsidRDefault="00AB12CF" w:rsidP="00AB12CF">
      <w:pPr>
        <w:widowControl w:val="0"/>
        <w:numPr>
          <w:ilvl w:val="0"/>
          <w:numId w:val="6"/>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lang w:val="en-US"/>
        </w:rPr>
      </w:pPr>
      <w:r w:rsidRPr="00E61ACD">
        <w:rPr>
          <w:rFonts w:ascii="Times New Roman" w:hAnsi="Times New Roman" w:cs="Times New Roman"/>
          <w:sz w:val="28"/>
          <w:szCs w:val="28"/>
          <w:lang w:val="en-US"/>
        </w:rPr>
        <w:t xml:space="preserve"> </w:t>
      </w:r>
      <w:r w:rsidRPr="00AB12CF">
        <w:rPr>
          <w:rFonts w:ascii="Times New Roman" w:hAnsi="Times New Roman" w:cs="Times New Roman"/>
          <w:sz w:val="28"/>
          <w:szCs w:val="28"/>
        </w:rPr>
        <w:t>Обновляемые</w:t>
      </w:r>
      <w:r w:rsidRPr="00E61ACD">
        <w:rPr>
          <w:rFonts w:ascii="Times New Roman" w:hAnsi="Times New Roman" w:cs="Times New Roman"/>
          <w:sz w:val="28"/>
          <w:szCs w:val="28"/>
          <w:lang w:val="en-US"/>
        </w:rPr>
        <w:t xml:space="preserve"> </w:t>
      </w:r>
      <w:r w:rsidRPr="00AB12CF">
        <w:rPr>
          <w:rFonts w:ascii="Times New Roman" w:hAnsi="Times New Roman" w:cs="Times New Roman"/>
          <w:sz w:val="28"/>
          <w:szCs w:val="28"/>
        </w:rPr>
        <w:t>материалы</w:t>
      </w:r>
      <w:r w:rsidRPr="00E61ACD">
        <w:rPr>
          <w:rFonts w:ascii="Times New Roman" w:hAnsi="Times New Roman" w:cs="Times New Roman"/>
          <w:sz w:val="28"/>
          <w:szCs w:val="28"/>
          <w:lang w:val="en-US"/>
        </w:rPr>
        <w:t xml:space="preserve"> Current Protocols in Molecular Biology</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Журналы: </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Bioinformatics</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BioTechniques</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BMC Bioinformatics</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BMC Genomics </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Genomics Proteomics Bioinformatics</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Genome research </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Nucleic acid research</w:t>
      </w:r>
    </w:p>
    <w:p w:rsidR="00AB12CF" w:rsidRPr="00AB12CF" w:rsidRDefault="00AB12CF" w:rsidP="00AB12CF">
      <w:pPr>
        <w:widowControl w:val="0"/>
        <w:numPr>
          <w:ilvl w:val="0"/>
          <w:numId w:val="7"/>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AB12CF">
        <w:rPr>
          <w:rFonts w:ascii="Times New Roman" w:hAnsi="Times New Roman" w:cs="Times New Roman"/>
          <w:sz w:val="28"/>
          <w:szCs w:val="28"/>
        </w:rPr>
        <w:t xml:space="preserve"> RNA</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Консорциумы: </w:t>
      </w:r>
    </w:p>
    <w:p w:rsidR="00AB12CF" w:rsidRPr="00E61ACD" w:rsidRDefault="00AB12CF" w:rsidP="00AB12CF">
      <w:pPr>
        <w:widowControl w:val="0"/>
        <w:numPr>
          <w:ilvl w:val="0"/>
          <w:numId w:val="8"/>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lang w:val="en-US"/>
        </w:rPr>
      </w:pPr>
      <w:r w:rsidRPr="00E61ACD">
        <w:rPr>
          <w:rFonts w:ascii="Times New Roman" w:hAnsi="Times New Roman" w:cs="Times New Roman"/>
          <w:sz w:val="28"/>
          <w:szCs w:val="28"/>
          <w:lang w:val="en-US"/>
        </w:rPr>
        <w:t xml:space="preserve"> MIAME: mged.org/Workgroups/MIAME/miame.html</w:t>
      </w:r>
    </w:p>
    <w:p w:rsidR="00AB12CF" w:rsidRPr="00E61ACD" w:rsidRDefault="00AB12CF" w:rsidP="00AB12CF">
      <w:pPr>
        <w:widowControl w:val="0"/>
        <w:numPr>
          <w:ilvl w:val="0"/>
          <w:numId w:val="8"/>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lang w:val="en-US"/>
        </w:rPr>
      </w:pPr>
      <w:r w:rsidRPr="00E61ACD">
        <w:rPr>
          <w:rFonts w:ascii="Times New Roman" w:hAnsi="Times New Roman" w:cs="Times New Roman"/>
          <w:sz w:val="28"/>
          <w:szCs w:val="28"/>
          <w:lang w:val="en-US"/>
        </w:rPr>
        <w:t xml:space="preserve"> MINSEQE: fged.org/projects/minseqe/ </w:t>
      </w:r>
    </w:p>
    <w:p w:rsidR="00AB12CF" w:rsidRPr="00AB12CF" w:rsidRDefault="00AB12CF" w:rsidP="00AB12CF">
      <w:pPr>
        <w:widowControl w:val="0"/>
        <w:numPr>
          <w:ilvl w:val="0"/>
          <w:numId w:val="8"/>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8"/>
          <w:szCs w:val="28"/>
        </w:rPr>
      </w:pPr>
      <w:r w:rsidRPr="00E61ACD">
        <w:rPr>
          <w:rFonts w:ascii="Times New Roman" w:hAnsi="Times New Roman" w:cs="Times New Roman"/>
          <w:sz w:val="28"/>
          <w:szCs w:val="28"/>
          <w:lang w:val="en-US"/>
        </w:rPr>
        <w:t xml:space="preserve"> </w:t>
      </w:r>
      <w:r w:rsidRPr="00AB12CF">
        <w:rPr>
          <w:rFonts w:ascii="Times New Roman" w:hAnsi="Times New Roman" w:cs="Times New Roman"/>
          <w:sz w:val="28"/>
          <w:szCs w:val="28"/>
        </w:rPr>
        <w:t>MIQE: miqe.info</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lastRenderedPageBreak/>
        <w:t>Производители:</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jc w:val="left"/>
        <w:rPr>
          <w:rFonts w:ascii="Times New Roman" w:hAnsi="Times New Roman" w:cs="Times New Roman"/>
          <w:sz w:val="20"/>
          <w:szCs w:val="20"/>
        </w:rPr>
      </w:pPr>
      <w:r w:rsidRPr="00AB12CF">
        <w:rPr>
          <w:rFonts w:ascii="Times New Roman" w:hAnsi="Times New Roman" w:cs="Times New Roman"/>
          <w:sz w:val="28"/>
          <w:szCs w:val="28"/>
        </w:rPr>
        <w:t>Abbott Molecular</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Affymetrix</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Illumina</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Integrated DNA Technologies</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Life Technologies</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MACS Molecular</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Millipore</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New England BioLabs (NEB)</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NimbleGen/Roche</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Panreac</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Qiagen </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Sequenom</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Sigma Aldrich</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Евроген</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Синтол</w:t>
      </w:r>
    </w:p>
    <w:p w:rsidR="00AB12CF" w:rsidRPr="00AB12CF" w:rsidRDefault="00AB12CF" w:rsidP="00AB12CF">
      <w:pPr>
        <w:widowControl w:val="0"/>
        <w:numPr>
          <w:ilvl w:val="0"/>
          <w:numId w:val="9"/>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Corning</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Поставщики оборудования и реагентов в РФ:</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jc w:val="left"/>
        <w:rPr>
          <w:rFonts w:ascii="Times New Roman" w:hAnsi="Times New Roman" w:cs="Times New Roman"/>
          <w:sz w:val="20"/>
          <w:szCs w:val="20"/>
        </w:rPr>
      </w:pPr>
      <w:r w:rsidRPr="00AB12CF">
        <w:rPr>
          <w:rFonts w:ascii="Times New Roman" w:hAnsi="Times New Roman" w:cs="Times New Roman"/>
          <w:sz w:val="28"/>
          <w:szCs w:val="28"/>
        </w:rPr>
        <w:t xml:space="preserve"> BioVitrum</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Sigma</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SkyGen (представляют продукцию NEB)</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ГринВэн (представляют продукцию GE Healthcare)</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Диа-М</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ИнтерЛабСервис</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Меттлер Толедо</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СервисИнструментПлюс (представляют продукцию Abbott Molecular)</w:t>
      </w:r>
    </w:p>
    <w:p w:rsidR="00AB12CF" w:rsidRPr="00AB12CF" w:rsidRDefault="00AB12CF" w:rsidP="00AB12CF">
      <w:pPr>
        <w:widowControl w:val="0"/>
        <w:numPr>
          <w:ilvl w:val="0"/>
          <w:numId w:val="10"/>
        </w:numPr>
        <w:tabs>
          <w:tab w:val="left" w:pos="87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851"/>
        <w:rPr>
          <w:rFonts w:ascii="Times New Roman" w:hAnsi="Times New Roman" w:cs="Times New Roman"/>
          <w:sz w:val="20"/>
          <w:szCs w:val="20"/>
        </w:rPr>
      </w:pPr>
      <w:r w:rsidRPr="00AB12CF">
        <w:rPr>
          <w:rFonts w:ascii="Times New Roman" w:hAnsi="Times New Roman" w:cs="Times New Roman"/>
          <w:sz w:val="28"/>
          <w:szCs w:val="28"/>
        </w:rPr>
        <w:t xml:space="preserve"> Хеликон</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Приложение 2. Стандартное лабораторное оборудование для целей транскриптомики</w:t>
      </w:r>
    </w:p>
    <w:p w:rsidR="00AB12CF" w:rsidRPr="00AB12CF" w:rsidRDefault="00AB12CF" w:rsidP="00AB12C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left"/>
        <w:rPr>
          <w:rFonts w:ascii="Times New Roman" w:hAnsi="Times New Roman" w:cs="Times New Roman"/>
          <w:sz w:val="28"/>
          <w:szCs w:val="28"/>
        </w:rPr>
      </w:pPr>
      <w:r w:rsidRPr="00AB12CF">
        <w:rPr>
          <w:rFonts w:ascii="Times New Roman" w:hAnsi="Times New Roman" w:cs="Times New Roman"/>
          <w:sz w:val="28"/>
          <w:szCs w:val="28"/>
        </w:rPr>
        <w:t>pH-метр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Автоклав</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Вакуумный концентратор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Весы</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Водяная баня или инкубатор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Вортекс</w:t>
      </w:r>
      <w:r w:rsidR="00847A82">
        <w:rPr>
          <w:rFonts w:ascii="Times New Roman" w:hAnsi="Times New Roman" w:cs="Times New Roman"/>
          <w:sz w:val="28"/>
          <w:szCs w:val="28"/>
        </w:rPr>
        <w:t>, в</w:t>
      </w:r>
      <w:r w:rsidRPr="00AB12CF">
        <w:rPr>
          <w:rFonts w:ascii="Times New Roman" w:hAnsi="Times New Roman" w:cs="Times New Roman"/>
          <w:sz w:val="28"/>
          <w:szCs w:val="28"/>
        </w:rPr>
        <w:t>ортекс-центрифуга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Источник сжатого азота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Ламинарный бокс</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Магнитная мешалка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Микроволновая печь</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Низкотемпературная морозилка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Одноканальные, многоканальные и многоканальные с регулируемым спэйсером механические пипетки-дозаторы</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Орбитальный шейкер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Планшетная центрифуга</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Система гель-документирования</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Соникатор и (или) небулайзер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Спектрофотометр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Термоциклер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Холодильник с морозилкой</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B12CF">
        <w:rPr>
          <w:rFonts w:ascii="Times New Roman" w:hAnsi="Times New Roman" w:cs="Times New Roman"/>
          <w:sz w:val="28"/>
          <w:szCs w:val="28"/>
        </w:rPr>
        <w:t>Холодовая микроцентрифуга от 12000 g</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Электрофоретическая система - заливка гелей и электрофорез</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Компьютер с 8 и более ГБ оперативной памяти и двух- и более ядерным процессором с тактовой частотой от 2.3 ГГц.</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Приложение 3. Обозначения азотистых оснований для многозначной записи последовательностей, некоторых модификаций и синтетических азотистых оснований</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R - A,G</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Y - C,T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M - A,C</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K - G,T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S - C,G</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W - A,T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H - A,C,T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B - C,G,T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V - A,C,G</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D - A,G,T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N - A,C,G,T</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 xml:space="preserve">I - </w:t>
      </w:r>
      <w:r w:rsidRPr="00AB12CF">
        <w:rPr>
          <w:rFonts w:ascii="Times New Roman" w:hAnsi="Times New Roman" w:cs="Times New Roman"/>
          <w:sz w:val="28"/>
          <w:szCs w:val="28"/>
        </w:rPr>
        <w:t>инозин</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5niInd - 5-</w:t>
      </w:r>
      <w:r w:rsidRPr="00AB12CF">
        <w:rPr>
          <w:rFonts w:ascii="Times New Roman" w:hAnsi="Times New Roman" w:cs="Times New Roman"/>
          <w:sz w:val="28"/>
          <w:szCs w:val="28"/>
        </w:rPr>
        <w:t>нитроиндол</w:t>
      </w: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lang w:val="en-US"/>
        </w:rPr>
      </w:pPr>
      <w:r w:rsidRPr="00E61ACD">
        <w:rPr>
          <w:rFonts w:ascii="Times New Roman" w:hAnsi="Times New Roman" w:cs="Times New Roman"/>
          <w:sz w:val="28"/>
          <w:szCs w:val="28"/>
          <w:lang w:val="en-US"/>
        </w:rPr>
        <w:t xml:space="preserve">Iso-G - </w:t>
      </w:r>
      <w:r w:rsidRPr="00AB12CF">
        <w:rPr>
          <w:rFonts w:ascii="Times New Roman" w:hAnsi="Times New Roman" w:cs="Times New Roman"/>
          <w:sz w:val="28"/>
          <w:szCs w:val="28"/>
        </w:rPr>
        <w:t>изогуанозин</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Iso-C - изоцитидин</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 xml:space="preserve">LNA - заблокированные </w:t>
      </w:r>
      <w:r w:rsidR="001643FA">
        <w:rPr>
          <w:rFonts w:ascii="Times New Roman" w:hAnsi="Times New Roman" w:cs="Times New Roman"/>
          <w:sz w:val="28"/>
          <w:szCs w:val="28"/>
        </w:rPr>
        <w:t xml:space="preserve">(защелкнутые) </w:t>
      </w:r>
      <w:r w:rsidRPr="00AB12CF">
        <w:rPr>
          <w:rFonts w:ascii="Times New Roman" w:hAnsi="Times New Roman" w:cs="Times New Roman"/>
          <w:sz w:val="28"/>
          <w:szCs w:val="28"/>
        </w:rPr>
        <w:t>нуклеиновые кислоты</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B12CF">
        <w:rPr>
          <w:rFonts w:ascii="Times New Roman" w:hAnsi="Times New Roman" w:cs="Times New Roman"/>
          <w:sz w:val="28"/>
          <w:szCs w:val="28"/>
        </w:rPr>
        <w:t>PC Spacer - фотоотщепляемый спейсер</w:t>
      </w: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E61AC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301FAF" w:rsidRDefault="00301FA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B12CF"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Times New Roman" w:hAnsi="Times New Roman" w:cs="Times New Roman"/>
          <w:b/>
          <w:bCs/>
          <w:sz w:val="28"/>
          <w:szCs w:val="28"/>
        </w:rPr>
      </w:pPr>
      <w:r w:rsidRPr="00AB12CF">
        <w:rPr>
          <w:rFonts w:ascii="Times New Roman" w:hAnsi="Times New Roman" w:cs="Times New Roman"/>
          <w:b/>
          <w:bCs/>
          <w:sz w:val="28"/>
          <w:szCs w:val="28"/>
        </w:rPr>
        <w:lastRenderedPageBreak/>
        <w:t>Список использованных источников</w:t>
      </w:r>
    </w:p>
    <w:p w:rsidR="00AB12CF" w:rsidRPr="00E61ACD"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rPr>
      </w:pPr>
      <w:r w:rsidRPr="009B0CDF">
        <w:rPr>
          <w:rFonts w:ascii="Times New Roman" w:hAnsi="Times New Roman" w:cs="Times New Roman"/>
          <w:sz w:val="28"/>
          <w:szCs w:val="28"/>
          <w:lang w:val="en-US"/>
        </w:rPr>
        <w:t>NCBI</w:t>
      </w:r>
      <w:r w:rsidRPr="00E61ACD">
        <w:rPr>
          <w:rFonts w:ascii="Times New Roman" w:hAnsi="Times New Roman" w:cs="Times New Roman"/>
          <w:sz w:val="28"/>
          <w:szCs w:val="28"/>
        </w:rPr>
        <w:t xml:space="preserve"> </w:t>
      </w:r>
      <w:r w:rsidRPr="009B0CDF">
        <w:rPr>
          <w:rFonts w:ascii="Times New Roman" w:hAnsi="Times New Roman" w:cs="Times New Roman"/>
          <w:sz w:val="28"/>
          <w:szCs w:val="28"/>
          <w:lang w:val="en-US"/>
        </w:rPr>
        <w:t>MeSH</w:t>
      </w:r>
      <w:r w:rsidRPr="00E61ACD">
        <w:rPr>
          <w:rFonts w:ascii="Times New Roman" w:hAnsi="Times New Roman" w:cs="Times New Roman"/>
          <w:sz w:val="28"/>
          <w:szCs w:val="28"/>
        </w:rPr>
        <w:t xml:space="preserve"> (электронный ресурс): </w:t>
      </w:r>
      <w:r w:rsidRPr="009B0CDF">
        <w:rPr>
          <w:rFonts w:ascii="Times New Roman" w:hAnsi="Times New Roman" w:cs="Times New Roman"/>
          <w:sz w:val="28"/>
          <w:szCs w:val="28"/>
          <w:lang w:val="en-US"/>
        </w:rPr>
        <w:t>ncbi</w:t>
      </w:r>
      <w:r w:rsidRPr="00E61ACD">
        <w:rPr>
          <w:rFonts w:ascii="Times New Roman" w:hAnsi="Times New Roman" w:cs="Times New Roman"/>
          <w:sz w:val="28"/>
          <w:szCs w:val="28"/>
        </w:rPr>
        <w:t>.</w:t>
      </w:r>
      <w:r w:rsidRPr="009B0CDF">
        <w:rPr>
          <w:rFonts w:ascii="Times New Roman" w:hAnsi="Times New Roman" w:cs="Times New Roman"/>
          <w:sz w:val="28"/>
          <w:szCs w:val="28"/>
          <w:lang w:val="en-US"/>
        </w:rPr>
        <w:t>nlm</w:t>
      </w:r>
      <w:r w:rsidRPr="00E61ACD">
        <w:rPr>
          <w:rFonts w:ascii="Times New Roman" w:hAnsi="Times New Roman" w:cs="Times New Roman"/>
          <w:sz w:val="28"/>
          <w:szCs w:val="28"/>
        </w:rPr>
        <w:t>.</w:t>
      </w:r>
      <w:r w:rsidRPr="009B0CDF">
        <w:rPr>
          <w:rFonts w:ascii="Times New Roman" w:hAnsi="Times New Roman" w:cs="Times New Roman"/>
          <w:sz w:val="28"/>
          <w:szCs w:val="28"/>
          <w:lang w:val="en-US"/>
        </w:rPr>
        <w:t>nih</w:t>
      </w:r>
      <w:r w:rsidRPr="00E61ACD">
        <w:rPr>
          <w:rFonts w:ascii="Times New Roman" w:hAnsi="Times New Roman" w:cs="Times New Roman"/>
          <w:sz w:val="28"/>
          <w:szCs w:val="28"/>
        </w:rPr>
        <w:t>.</w:t>
      </w:r>
      <w:r w:rsidRPr="009B0CDF">
        <w:rPr>
          <w:rFonts w:ascii="Times New Roman" w:hAnsi="Times New Roman" w:cs="Times New Roman"/>
          <w:sz w:val="28"/>
          <w:szCs w:val="28"/>
          <w:lang w:val="en-US"/>
        </w:rPr>
        <w:t>gov</w:t>
      </w:r>
      <w:r w:rsidRPr="00E61ACD">
        <w:rPr>
          <w:rFonts w:ascii="Times New Roman" w:hAnsi="Times New Roman" w:cs="Times New Roman"/>
          <w:sz w:val="28"/>
          <w:szCs w:val="28"/>
        </w:rPr>
        <w:t>/</w:t>
      </w:r>
      <w:r w:rsidRPr="009B0CDF">
        <w:rPr>
          <w:rFonts w:ascii="Times New Roman" w:hAnsi="Times New Roman" w:cs="Times New Roman"/>
          <w:sz w:val="28"/>
          <w:szCs w:val="28"/>
          <w:lang w:val="en-US"/>
        </w:rPr>
        <w:t>mesh</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Wang Z., Gerstein M., Snyder M. RNA-Seq: a revolutionary tool for transcriptomics // Nat Rev Genet. - 2009. - Vol. 10, No. 1. - P. 57-63. PMID 19015660</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Calvel P., Rolland A.D., Jégou B., Pineau C. Testicular postgenomics: targeting the regulation of spermatogenesis // Philos Trans R Soc Lond B Biol Sci. - 2010. - Vol. 365, No. 1546. - P. 1481-1500. PMID 20403865</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Sánchez-Pla A., Reverter F., Ruíz de Villa M.C., Comabella M. anscriptomics: mRNA and alternative splicing // J Neuroimmunol. - 2012. - Vol. 248, No. 1-2. - P. 23-31. PMID 22626445</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Ausubel F. M., Brent R., Kingston R.E., Moore D.D., Seidman J.G., Smith J.A., Struhl K. (eds.). Current Protocols in Molecular Biology / John Wiley &amp; Sons. – 2003. – 4410 p., а также обновляемые издания CPMB.</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NimbleGen/Roche (электронный ресурс): nimblegen.com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Roche (электронный ресурс): roche-applied-science.com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Affymetrix (электронный ресурс): affymetrix.com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Illumina (электронный ресурс): illumina.com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Corning (электронный ресурс): corning.com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Sigma Aldrich (электронный ресурс): sigmaaldrich.com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MACS Molecular (электронный ресурс): miltenyibiotec.com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 xml:space="preserve">Qiagen (электронный ресурс): qiagen.com </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GE Healthcare (электронный ресурс): gehealthcare.com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Life Technologies (электронный ресурс): lifetechnologies.com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Jena Bioscience (электронный ресурс): jenabioscience.com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VWR (электронный ресурс): vwr.com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 xml:space="preserve">Boguski M.S., Tolstoshev C.M., Bassett D.E. Jr. Gene discovery in </w:t>
      </w:r>
      <w:r w:rsidRPr="009B0CDF">
        <w:rPr>
          <w:rFonts w:ascii="Times New Roman" w:hAnsi="Times New Roman" w:cs="Times New Roman"/>
          <w:sz w:val="28"/>
          <w:szCs w:val="28"/>
          <w:lang w:val="en-US"/>
        </w:rPr>
        <w:lastRenderedPageBreak/>
        <w:t>dbEST // Science. – 1994. – Vol. 265. – P. 1993-1994. PMID: 8091218</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Velculescu V.E., Zhang L., Vogelstein B., Kinzler K.W. Serial analysis of gene expression // Science. - 1995. - Vol. 270, No. 5235. - P. 484-487. PMID 7570003</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Harbers M., Carninci P. Tag-based approaches for transcriptome research and genome annotation // Nat Methods. - 2005. - Vol. 2, No. 7. - P. 495-502. PMID 15973418</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Kodzius R., Kojima M., Nishiyori H., Nakamura M., Fukuda S., Tagami M., Sasaki D., Imamura K., Kai C., Harbers M., Hayashizaki Y., Carninci P. CAGE: cap analysis of gene expression // Nat Methods. - 2006. - Vol. 3, No. 3. - P. 211-222. PMID 16489339</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Nakamura M., Carninci P. Cap analysis gene expression: CAGE // Tanpakushitsu Kakusan Koso. - 2004. - Vol. 49, Suppl. 17. - P. 2688-2693. 15669240</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Shiraki T., Kondo S., Katayama S., Waki K. Kasukawa T., Kawaji H., Kodzius R., Watahiki A., Nakamura M., Arakawa T., Fukuda S., Sasaki D., Podhajska A., Harbers M., Kawai J., Carninci P., Hayashizaki Y. Cap analysis gene expression for high-throughput analysis of transcriptional starting point and identification of promoter usage // Proc Natl Acad Sci USA. - 2003. - Vol. 100, No. 26. - 15776-15781. PMID: 14663149</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Brenner S., Johnson M., Bridgham J., Golda G., Lloyd D.H., Johnson D., Luo S., McCurdy S., Foy M., Ewan M., Roth R., George D., Eletr S., Albrecht G., Vermaas E., Williams S.R., Moon K., Burcham T., Pallas M., DuBridge R.B., Kirchner J., Fearon K., Mao J., Corcoran K. Gene expression analysis by massively parallel signature sequencing (MPSS) on microbead arrays // Nat Biotechnol. - 2000. - Vol. 18, No. 6. - P. 630-634. PMID: 10835600</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 xml:space="preserve">Peiffer J.A., Kaushik S., Sakai H., Arteaga-Vazquez M., Sanchez-Leon N., Ghazal H., Vielle-Calzada J.P., Meyers B.C. A spatial dissection of the </w:t>
      </w:r>
      <w:r w:rsidRPr="009B0CDF">
        <w:rPr>
          <w:rFonts w:ascii="Times New Roman" w:hAnsi="Times New Roman" w:cs="Times New Roman"/>
          <w:sz w:val="28"/>
          <w:szCs w:val="28"/>
          <w:lang w:val="en-US"/>
        </w:rPr>
        <w:lastRenderedPageBreak/>
        <w:t>Arabidopsis floral transcriptome by MPSS // BMC Plant Biol. - 2008. - Vol. 8. - P. 43. PMID 18426585</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Reinartz J., Bruyns E., Lin J.Z., Burcham T., Brenner S., Bowen B., Kramer M..Woychik R. Massively parallel signature sequencing (MPSS) as a tool for in-depth quantitative gene expression profiling in all organisms // Brief Funct Genomic Proteomic. - 2002. - Vol. 1, No. 1. - P. 95-104. PMID 15251069</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Helicos Biosciences (электронный ресурс): helicosbio.com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Sequenom (электронный ресурс): sequenom.com</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Schroeder A., Mueller O., Stocker S., Salowsky R., Leiber M., Gassmann M., Lightfoot S., Menzel W., Granzow M., Ragg T. The RIN: an RNA integrity number for assigning integrity values to RNA measurements // BMC Mol Biol. - 2006. - Vol. 7. - P. 3. PMID 16448564</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Chomczynski P., Sacchi N. The single-step method of RNA isolation by acid guanidinium thiocyanate-phenol-chloroform extraction: twenty-something years on // Nat Protoc. - 2006. - Vol. 1, No. 2. - P. 581-585. PMID 17406285</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Brazma A. Minimum Information About a Microarray Experiment (MIAME)--successes, failures, challenges // Scientific</w:t>
      </w:r>
      <w:r w:rsidR="00043FBA" w:rsidRPr="00043FBA">
        <w:rPr>
          <w:rFonts w:ascii="Times New Roman" w:hAnsi="Times New Roman" w:cs="Times New Roman"/>
          <w:sz w:val="28"/>
          <w:szCs w:val="28"/>
          <w:lang w:val="en-US"/>
        </w:rPr>
        <w:t xml:space="preserve"> </w:t>
      </w:r>
      <w:r w:rsidRPr="009B0CDF">
        <w:rPr>
          <w:rFonts w:ascii="Times New Roman" w:hAnsi="Times New Roman" w:cs="Times New Roman"/>
          <w:sz w:val="28"/>
          <w:szCs w:val="28"/>
          <w:lang w:val="en-US"/>
        </w:rPr>
        <w:t>World</w:t>
      </w:r>
      <w:r w:rsidR="00043FBA" w:rsidRPr="00043FBA">
        <w:rPr>
          <w:rFonts w:ascii="Times New Roman" w:hAnsi="Times New Roman" w:cs="Times New Roman"/>
          <w:sz w:val="28"/>
          <w:szCs w:val="28"/>
          <w:lang w:val="en-US"/>
        </w:rPr>
        <w:t xml:space="preserve"> </w:t>
      </w:r>
      <w:r w:rsidRPr="009B0CDF">
        <w:rPr>
          <w:rFonts w:ascii="Times New Roman" w:hAnsi="Times New Roman" w:cs="Times New Roman"/>
          <w:sz w:val="28"/>
          <w:szCs w:val="28"/>
          <w:lang w:val="en-US"/>
        </w:rPr>
        <w:t>Journal. - 2009. - Vol. 9. - P. 420-423. PMID 19484163</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Bustin S.A., Benes V., Garson J.A., Hellemans J., Huggett J., Kubista M., Mueller R., Nolan T., Pfaffl M.W., Shipley G.L., Vandesompele J., Wittwer C.T. The MIQE guidelines: minimum information for publication of quantitative real-time PCR experiments // Clin Chem. - 2009. - Vol. 55, No. 4. - P. 611-622. PMID 19246619</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EMBL (электронный ресурс): embl.org</w:t>
      </w:r>
    </w:p>
    <w:p w:rsidR="00AB12CF" w:rsidRPr="009B0CDF"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9B0CDF">
        <w:rPr>
          <w:rFonts w:ascii="Times New Roman" w:hAnsi="Times New Roman" w:cs="Times New Roman"/>
          <w:sz w:val="28"/>
          <w:szCs w:val="28"/>
          <w:lang w:val="en-US"/>
        </w:rPr>
        <w:t>Chipster (электронный ресурс): chipster.csc.fi/index.shtml</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 xml:space="preserve">Wang N., Wang Y., Hao H., Wang L., Wang Z., Wang J., Wu R. A bi-Poisson model for clustering gene expression profiles by RNA-seq // Brief Bioinform. </w:t>
      </w:r>
      <w:r w:rsidRPr="00720CA9">
        <w:rPr>
          <w:rFonts w:ascii="Times New Roman" w:hAnsi="Times New Roman" w:cs="Times New Roman"/>
          <w:sz w:val="28"/>
          <w:szCs w:val="28"/>
          <w:lang w:val="en-US"/>
        </w:rPr>
        <w:lastRenderedPageBreak/>
        <w:t>– 2013. -  E-pub ahead of print. PMID: 23665510</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Kallio M.A., Tuimala J.T., Hupponen T., Klemelä P., Gentile M., Scheinin I., Koski M., Käki J., Korpelainen E.I. Chipster: user-friendly analysis software for microarray and other high-throughput data // BMC Genomics. – 2011. – Vol. 12. – P. 507. PMID: 21999641</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Tanabe M., Kanehisa M. Using the KEGG database resource // Curr Protoc Bioinformatics. -  2012. - Chapter 1, Unit 1.12. PMID: 22700311</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Chang B., Kustra R., Tian W. Functional-network-based gene set analysis using gene-ontology // PLoS One. – 2013. – Vol. 8, No. 2. – P. e55635. PMID: 23418449</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Parikh J.R., Klinger B., Xia Y., Marto J.A., Blüthgen N. Discovering causal signaling pathways through gene-expression patterns // Nucleic Acids Res. – 2010. – Vol. 38. – P. W109-W117. PMID: 20494976</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Beltrame L., Bianco L., Fontana P., Cavalieri D. Pathway-based analysis of microarray and RNAseq data using Pathway Processor 2.0 // Curr Protoc Bioinformatics. – 2013. - Chapter 7, Unit 7.6. PMID: 23504935</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Wang J., Delabie J., Aasheim H., Smeland E., Myklebost O. Clustering of the SOM easily reveals distinct gene expression patterns: results of a reanalysis of lymphoma study // BMC Bioinformatics. – 2002. – Vol. 3. – P. 36. PMID: 12445336</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 xml:space="preserve">Kitchen R.R., Sabine V.S., Sims A.H., Macaskill E.J., Renshaw L., Thomas J.S., van Hemert J.I., Dixon J.M., Bartlett J.M. Correcting for intra-experiment variation in Illumina BeadChip data is necessary to generate robust gene-expression profiles // BMC Genomics. – 2010. – Vol. 11. – P. 134. PMID:  20181233 </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 xml:space="preserve">Schurmann C., Heim K., Schillert A., Blankenberg S., Carstensen M., Dörr M., Endlich K., Felix S.B., Gieger C., Grallert H., Herder C., Hoffmann W., Homuth G., Illig T., Kruppa J., Meitinger T., Müller C., Nauck M., Peters A., Rettig R., Roden M., Strauch K., Völker U., Völzke H., Wahl S., Wallaschofski H., Wild </w:t>
      </w:r>
      <w:r w:rsidRPr="00720CA9">
        <w:rPr>
          <w:rFonts w:ascii="Times New Roman" w:hAnsi="Times New Roman" w:cs="Times New Roman"/>
          <w:sz w:val="28"/>
          <w:szCs w:val="28"/>
          <w:lang w:val="en-US"/>
        </w:rPr>
        <w:lastRenderedPageBreak/>
        <w:t>P.S., Zeller T., Teumer A., Prokisch H., Ziegler A. Analyzing illumina gene expression microarray data from different tissues: methodological aspects of data analysis in the metaxpress consortium. PLoS One. 2012;7(12):e50938. PMID: 23236413</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Timmerman M.E., Ceulemans E., De Roover K., Van Leeuwen K.. Subspace K-means clustering // Behav Res Methods. - 2013. – E-pub ahead of print. PMID: 23526258</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Nagalakshmi U., Wang Z., Waern K., Shou C., Raha D., Gerstein M., Snyder M. The transcriptional landscape of the yeast genome defined by RNA sequencing // Science. -  2008. – Vol. 320. – P. 1344–1349. PMID: 18451266</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Wilhelm B.T., Marguerat S., Watt S., Schubert F., Wood V., Goodhead I., Penkett C.J., Rogers J., Bähler J. Dynamic repertoire of a eukaryotic transcriptome surveyed at single-nucleotide resolution // Nature. – 2008. – Vol. 453. – P. 1239–1243. PMID: 18488015</w:t>
      </w:r>
    </w:p>
    <w:p w:rsidR="00720CA9" w:rsidRPr="00720CA9"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Hinnebusch A.G. Translational regulation of GCN4 and the general amino acid control of yeast // Annu Rev Microbiol. – 2005. – Vol. 59. – P. 407–450. PMID: 16153175</w:t>
      </w:r>
    </w:p>
    <w:p w:rsidR="00720CA9" w:rsidRPr="00AD050D"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720CA9">
        <w:rPr>
          <w:rFonts w:ascii="Times New Roman" w:hAnsi="Times New Roman" w:cs="Times New Roman"/>
          <w:sz w:val="28"/>
          <w:szCs w:val="28"/>
          <w:lang w:val="en-US"/>
        </w:rPr>
        <w:t xml:space="preserve">Cloonan N., Forrest A.R., Kolle G., Gardiner B.B., Faulkner G.J., Brown M.K., Taylor </w:t>
      </w:r>
      <w:r w:rsidRPr="00AD050D">
        <w:rPr>
          <w:rFonts w:ascii="Times New Roman" w:hAnsi="Times New Roman" w:cs="Times New Roman"/>
          <w:sz w:val="28"/>
          <w:szCs w:val="28"/>
          <w:lang w:val="en-US"/>
        </w:rPr>
        <w:t>D.F., Steptoe A.L., Wani S., Bethel G., Robertson A.J., Perkins A.C., Bruce S.J., Lee C.C., Ranade S.S., Peckham H.E., Manning J.M., McKernan K.J., Grimmond S.M. Stem cell transcriptome profiling via massive-scale mRNA sequencing // Nat Methods. – 2008. – Vol. 5, No. 7. – P. 613-619. PMID: 18516046</w:t>
      </w:r>
    </w:p>
    <w:p w:rsidR="00720CA9" w:rsidRPr="00AD050D" w:rsidRDefault="00720CA9" w:rsidP="00720CA9">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AD050D">
        <w:rPr>
          <w:rFonts w:ascii="Times New Roman" w:hAnsi="Times New Roman" w:cs="Times New Roman"/>
          <w:sz w:val="28"/>
          <w:szCs w:val="28"/>
          <w:lang w:val="en-US"/>
        </w:rPr>
        <w:t xml:space="preserve">Bertozzi D., Iurlaro R., Sordet O., Marinello J., Zaffaroni N., Capranico G. Characterization of novel antisense HIF-1α transcripts in human cancers // Cell Cycle. -  2011. – Vol. 10, No. 18. – P. 3189-3197. </w:t>
      </w:r>
    </w:p>
    <w:p w:rsidR="00AB12CF" w:rsidRPr="00AD050D"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AD050D">
        <w:rPr>
          <w:rFonts w:ascii="Times New Roman" w:hAnsi="Times New Roman" w:cs="Times New Roman"/>
          <w:sz w:val="28"/>
          <w:szCs w:val="28"/>
          <w:lang w:val="en-US"/>
        </w:rPr>
        <w:t xml:space="preserve">Sultan M., Schulz M.H., Richard H., Magen A., Klingenhoff A., Scherf M., Seifert M., Borodina T., Soldatov A., Parkhomchuk D., Schmidt D., O'Keeffe S., </w:t>
      </w:r>
      <w:r w:rsidRPr="00AD050D">
        <w:rPr>
          <w:rFonts w:ascii="Times New Roman" w:hAnsi="Times New Roman" w:cs="Times New Roman"/>
          <w:sz w:val="28"/>
          <w:szCs w:val="28"/>
          <w:lang w:val="en-US"/>
        </w:rPr>
        <w:lastRenderedPageBreak/>
        <w:t>Haas S., Vingron M., Lehrach H.,Yaspo M.L. A global view of gene activity and alternative splicing by deep sequencing of the human transcriptome // Science. - 2008. - Vol. 321, No. 5891. - P. 956-960. PMID 18599741</w:t>
      </w:r>
    </w:p>
    <w:p w:rsidR="00AB12CF" w:rsidRPr="00AD050D" w:rsidRDefault="00AB12CF" w:rsidP="00AB12CF">
      <w:pPr>
        <w:widowControl w:val="0"/>
        <w:numPr>
          <w:ilvl w:val="0"/>
          <w:numId w:val="11"/>
        </w:numPr>
        <w:tabs>
          <w:tab w:val="left" w:pos="1100"/>
        </w:tabs>
        <w:autoSpaceDE w:val="0"/>
        <w:autoSpaceDN w:val="0"/>
        <w:adjustRightInd w:val="0"/>
        <w:ind w:left="0" w:firstLine="1080"/>
        <w:rPr>
          <w:rFonts w:ascii="Times New Roman" w:hAnsi="Times New Roman" w:cs="Times New Roman"/>
          <w:sz w:val="28"/>
          <w:szCs w:val="28"/>
          <w:lang w:val="en-US"/>
        </w:rPr>
      </w:pPr>
      <w:r w:rsidRPr="00AD050D">
        <w:rPr>
          <w:rFonts w:ascii="Times New Roman" w:hAnsi="Times New Roman" w:cs="Times New Roman"/>
          <w:sz w:val="28"/>
          <w:szCs w:val="28"/>
          <w:lang w:val="en-US"/>
        </w:rPr>
        <w:t>Morin R., Bainbridge M., Fejes A., Hirst M., Krzywinski M., Pugh T., McDonald H., Varhol R., Jones S., Marra M. Profiling the HeLa S3 transcriptome using randomly primed cDNA and massively parallel short-read sequencing // Biotechniques. - 2008. - Vol. 45, No. 1. - P. 81-94. PMID 18611170</w:t>
      </w:r>
    </w:p>
    <w:p w:rsidR="00AB12CF" w:rsidRPr="00AD050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043FBA"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D050D">
        <w:rPr>
          <w:rFonts w:ascii="Times New Roman" w:hAnsi="Times New Roman" w:cs="Times New Roman"/>
          <w:sz w:val="28"/>
          <w:szCs w:val="28"/>
        </w:rPr>
        <w:t>Авторы выражают благодарность М.В. Левчене (БГУ), Rebecca Fleming (Qiagen), Thomas Waldbach (Jena Bioscience) и Peter S. Cooper (NCBI NIH) за помощь в подготовке протоколов по печати чипов, методам работы с РНК, мечению кДНК и работе с NCBI BLAST.</w:t>
      </w:r>
    </w:p>
    <w:p w:rsidR="00043FBA" w:rsidRDefault="00043FBA"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rsidR="00AB12CF" w:rsidRPr="00AD050D" w:rsidRDefault="00AB12CF" w:rsidP="00A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r w:rsidRPr="00AD050D">
        <w:rPr>
          <w:rFonts w:ascii="Times New Roman" w:hAnsi="Times New Roman" w:cs="Times New Roman"/>
          <w:sz w:val="28"/>
          <w:szCs w:val="28"/>
        </w:rPr>
        <w:t>Работа выполнена</w:t>
      </w:r>
      <w:r w:rsidR="00043FBA">
        <w:rPr>
          <w:rFonts w:ascii="Times New Roman" w:hAnsi="Times New Roman" w:cs="Times New Roman"/>
          <w:sz w:val="28"/>
          <w:szCs w:val="28"/>
        </w:rPr>
        <w:t xml:space="preserve"> в рамках Соглашения </w:t>
      </w:r>
      <w:r w:rsidR="00043FBA" w:rsidRPr="00AD050D">
        <w:rPr>
          <w:rFonts w:ascii="Times New Roman" w:hAnsi="Times New Roman" w:cs="Times New Roman"/>
          <w:sz w:val="28"/>
          <w:szCs w:val="28"/>
        </w:rPr>
        <w:t>14.А18.21.0199</w:t>
      </w:r>
      <w:r w:rsidR="00043FBA">
        <w:rPr>
          <w:rFonts w:ascii="Times New Roman" w:hAnsi="Times New Roman" w:cs="Times New Roman"/>
          <w:sz w:val="28"/>
          <w:szCs w:val="28"/>
        </w:rPr>
        <w:t xml:space="preserve"> </w:t>
      </w:r>
      <w:r w:rsidRPr="00AD050D">
        <w:rPr>
          <w:rFonts w:ascii="Times New Roman" w:hAnsi="Times New Roman" w:cs="Times New Roman"/>
          <w:sz w:val="28"/>
          <w:szCs w:val="28"/>
        </w:rPr>
        <w:t>ФЦП "Научные и научно-педагогические кадры и</w:t>
      </w:r>
      <w:r w:rsidR="00043FBA">
        <w:rPr>
          <w:rFonts w:ascii="Times New Roman" w:hAnsi="Times New Roman" w:cs="Times New Roman"/>
          <w:sz w:val="28"/>
          <w:szCs w:val="28"/>
        </w:rPr>
        <w:t>нновационной России»</w:t>
      </w:r>
      <w:r w:rsidRPr="00AD050D">
        <w:rPr>
          <w:rFonts w:ascii="Times New Roman" w:hAnsi="Times New Roman" w:cs="Times New Roman"/>
          <w:sz w:val="28"/>
          <w:szCs w:val="28"/>
        </w:rPr>
        <w:t xml:space="preserve">. </w:t>
      </w:r>
    </w:p>
    <w:p w:rsidR="000F58EE" w:rsidRPr="00AD050D" w:rsidRDefault="000F58EE">
      <w:pPr>
        <w:rPr>
          <w:rFonts w:ascii="Times New Roman" w:hAnsi="Times New Roman" w:cs="Times New Roman"/>
          <w:sz w:val="28"/>
          <w:szCs w:val="28"/>
        </w:rPr>
      </w:pPr>
    </w:p>
    <w:p w:rsidR="006F4DA4" w:rsidRDefault="006F4DA4">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Default="00043FBA">
      <w:pPr>
        <w:rPr>
          <w:rFonts w:ascii="Times New Roman" w:hAnsi="Times New Roman" w:cs="Times New Roman"/>
          <w:sz w:val="28"/>
          <w:szCs w:val="28"/>
        </w:rPr>
      </w:pPr>
    </w:p>
    <w:p w:rsidR="00043FBA" w:rsidRPr="00043FBA" w:rsidRDefault="00043FBA" w:rsidP="00043FBA">
      <w:pPr>
        <w:jc w:val="center"/>
        <w:rPr>
          <w:rFonts w:ascii="Times New Roman" w:hAnsi="Times New Roman" w:cs="Times New Roman"/>
          <w:b/>
          <w:sz w:val="28"/>
          <w:szCs w:val="28"/>
        </w:rPr>
      </w:pPr>
      <w:r w:rsidRPr="00043FBA">
        <w:rPr>
          <w:rFonts w:ascii="Times New Roman" w:hAnsi="Times New Roman" w:cs="Times New Roman"/>
          <w:b/>
          <w:sz w:val="28"/>
          <w:szCs w:val="28"/>
        </w:rPr>
        <w:lastRenderedPageBreak/>
        <w:t>Тестовые задания</w:t>
      </w:r>
    </w:p>
    <w:p w:rsidR="006F4DA4" w:rsidRPr="005D302C" w:rsidRDefault="006F4DA4" w:rsidP="006F4DA4">
      <w:pPr>
        <w:rPr>
          <w:rFonts w:ascii="Times New Roman" w:hAnsi="Times New Roman" w:cs="Times New Roman"/>
          <w:b/>
          <w:sz w:val="28"/>
          <w:szCs w:val="28"/>
        </w:rPr>
      </w:pPr>
      <w:r w:rsidRPr="005D302C">
        <w:rPr>
          <w:rFonts w:ascii="Times New Roman" w:hAnsi="Times New Roman" w:cs="Times New Roman"/>
          <w:b/>
          <w:sz w:val="28"/>
          <w:szCs w:val="28"/>
        </w:rPr>
        <w:t>1. Первичные данные транскриптомных исследований можно найти в базе:</w:t>
      </w:r>
    </w:p>
    <w:p w:rsidR="006F4DA4" w:rsidRPr="00AD050D" w:rsidRDefault="00043FBA" w:rsidP="006F4DA4">
      <w:pPr>
        <w:rPr>
          <w:rFonts w:ascii="Times New Roman" w:hAnsi="Times New Roman" w:cs="Times New Roman"/>
          <w:sz w:val="28"/>
          <w:szCs w:val="28"/>
          <w:lang w:val="en-US"/>
        </w:rPr>
      </w:pPr>
      <w:r>
        <w:rPr>
          <w:rFonts w:ascii="Times New Roman" w:hAnsi="Times New Roman" w:cs="Times New Roman"/>
          <w:sz w:val="28"/>
          <w:szCs w:val="28"/>
        </w:rPr>
        <w:t>А</w:t>
      </w:r>
      <w:r w:rsidRPr="00043FBA">
        <w:rPr>
          <w:rFonts w:ascii="Times New Roman" w:hAnsi="Times New Roman" w:cs="Times New Roman"/>
          <w:sz w:val="28"/>
          <w:szCs w:val="28"/>
          <w:lang w:val="en-US"/>
        </w:rPr>
        <w:t xml:space="preserve">) </w:t>
      </w:r>
      <w:r w:rsidR="006F4DA4" w:rsidRPr="00AD050D">
        <w:rPr>
          <w:rFonts w:ascii="Times New Roman" w:hAnsi="Times New Roman" w:cs="Times New Roman"/>
          <w:sz w:val="28"/>
          <w:szCs w:val="28"/>
          <w:lang w:val="en-US"/>
        </w:rPr>
        <w:t>Gene Ontology</w:t>
      </w:r>
    </w:p>
    <w:p w:rsidR="006F4DA4" w:rsidRPr="00AD050D" w:rsidRDefault="00043FBA" w:rsidP="006F4DA4">
      <w:pPr>
        <w:rPr>
          <w:rFonts w:ascii="Times New Roman" w:hAnsi="Times New Roman" w:cs="Times New Roman"/>
          <w:sz w:val="28"/>
          <w:szCs w:val="28"/>
          <w:lang w:val="en-US"/>
        </w:rPr>
      </w:pPr>
      <w:r>
        <w:rPr>
          <w:rFonts w:ascii="Times New Roman" w:hAnsi="Times New Roman" w:cs="Times New Roman"/>
          <w:sz w:val="28"/>
          <w:szCs w:val="28"/>
        </w:rPr>
        <w:t>Б</w:t>
      </w:r>
      <w:r w:rsidRPr="00043FBA">
        <w:rPr>
          <w:rFonts w:ascii="Times New Roman" w:hAnsi="Times New Roman" w:cs="Times New Roman"/>
          <w:sz w:val="28"/>
          <w:szCs w:val="28"/>
          <w:lang w:val="en-US"/>
        </w:rPr>
        <w:t xml:space="preserve">) </w:t>
      </w:r>
      <w:r w:rsidR="006F4DA4" w:rsidRPr="00AD050D">
        <w:rPr>
          <w:rFonts w:ascii="Times New Roman" w:hAnsi="Times New Roman" w:cs="Times New Roman"/>
          <w:sz w:val="28"/>
          <w:szCs w:val="28"/>
          <w:lang w:val="en-US"/>
        </w:rPr>
        <w:t>Geo DataSets</w:t>
      </w:r>
    </w:p>
    <w:p w:rsidR="006F4DA4" w:rsidRPr="00AD050D" w:rsidRDefault="00043FBA" w:rsidP="006F4DA4">
      <w:pPr>
        <w:rPr>
          <w:rFonts w:ascii="Times New Roman" w:hAnsi="Times New Roman" w:cs="Times New Roman"/>
          <w:sz w:val="28"/>
          <w:szCs w:val="28"/>
          <w:lang w:val="en-US"/>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lang w:val="en-US"/>
        </w:rPr>
        <w:t>Geo BioSample</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BioGPS</w:t>
      </w:r>
    </w:p>
    <w:p w:rsidR="006F4DA4" w:rsidRPr="005D302C" w:rsidRDefault="006F4DA4" w:rsidP="006F4DA4">
      <w:pPr>
        <w:rPr>
          <w:rFonts w:ascii="Times New Roman" w:hAnsi="Times New Roman" w:cs="Times New Roman"/>
          <w:b/>
          <w:sz w:val="28"/>
          <w:szCs w:val="28"/>
        </w:rPr>
      </w:pPr>
      <w:r w:rsidRPr="005D302C">
        <w:rPr>
          <w:rFonts w:ascii="Times New Roman" w:hAnsi="Times New Roman" w:cs="Times New Roman"/>
          <w:b/>
          <w:sz w:val="28"/>
          <w:szCs w:val="28"/>
        </w:rPr>
        <w:t>2. Для печати чипов не требуют кросслинкинга и модификации олигонуклеотида: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Fast-стекла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Эпоксидные стекла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Аминосилановые стекла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Полилизиновые стекла</w:t>
      </w:r>
    </w:p>
    <w:p w:rsidR="006F4DA4" w:rsidRPr="005D302C" w:rsidRDefault="006F4DA4" w:rsidP="006F4DA4">
      <w:pPr>
        <w:rPr>
          <w:rFonts w:ascii="Times New Roman" w:hAnsi="Times New Roman" w:cs="Times New Roman"/>
          <w:b/>
          <w:sz w:val="28"/>
          <w:szCs w:val="28"/>
        </w:rPr>
      </w:pPr>
      <w:r w:rsidRPr="005D302C">
        <w:rPr>
          <w:rFonts w:ascii="Times New Roman" w:hAnsi="Times New Roman" w:cs="Times New Roman"/>
          <w:b/>
          <w:sz w:val="28"/>
          <w:szCs w:val="28"/>
        </w:rPr>
        <w:t>3. Флуоресцентно-меченые образцы кДНК или IVT-РНК чувствительны 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Центрифугированию</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Концентрации озона в лаборатории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Температурному режиму</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Свету</w:t>
      </w:r>
    </w:p>
    <w:p w:rsidR="006F4DA4" w:rsidRPr="005D302C" w:rsidRDefault="006F4DA4" w:rsidP="006F4DA4">
      <w:pPr>
        <w:rPr>
          <w:rFonts w:ascii="Times New Roman" w:hAnsi="Times New Roman" w:cs="Times New Roman"/>
          <w:b/>
          <w:sz w:val="28"/>
          <w:szCs w:val="28"/>
        </w:rPr>
      </w:pPr>
      <w:r w:rsidRPr="005D302C">
        <w:rPr>
          <w:rFonts w:ascii="Times New Roman" w:hAnsi="Times New Roman" w:cs="Times New Roman"/>
          <w:b/>
          <w:sz w:val="28"/>
          <w:szCs w:val="28"/>
        </w:rPr>
        <w:t xml:space="preserve">4. Бидистиллированная вода, получаемая в лаборатории и собираемая в негерметичную посуду, имеет кислотность: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Нейтральную</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 xml:space="preserve">Пониженную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Повышенную</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Непроверяемую из-за отсутствия ионов, удаляемых при бидистилляции</w:t>
      </w:r>
    </w:p>
    <w:p w:rsidR="006F4DA4" w:rsidRPr="005D302C" w:rsidRDefault="006F4DA4" w:rsidP="006F4DA4">
      <w:pPr>
        <w:rPr>
          <w:rFonts w:ascii="Times New Roman" w:hAnsi="Times New Roman" w:cs="Times New Roman"/>
          <w:b/>
          <w:sz w:val="28"/>
          <w:szCs w:val="28"/>
        </w:rPr>
      </w:pPr>
      <w:r w:rsidRPr="005D302C">
        <w:rPr>
          <w:rFonts w:ascii="Times New Roman" w:hAnsi="Times New Roman" w:cs="Times New Roman"/>
          <w:b/>
          <w:sz w:val="28"/>
          <w:szCs w:val="28"/>
        </w:rPr>
        <w:t>5. При считывании двуцветного чипа настройка лазеров или ФЭУ:</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А) </w:t>
      </w:r>
      <w:r w:rsidR="006F4DA4" w:rsidRPr="00AD050D">
        <w:rPr>
          <w:rFonts w:ascii="Times New Roman" w:hAnsi="Times New Roman" w:cs="Times New Roman"/>
          <w:sz w:val="28"/>
          <w:szCs w:val="28"/>
        </w:rPr>
        <w:t>Не требуется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 xml:space="preserve">Выставляется одинаковой для обоих каналов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Проводится для каждого канала отдельно без учета фонового свечения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Проводится для каждого канала отдельно с учетом самых ярких спотов и свечения фона</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6.  Метод MPSS основан на считывании: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Коротких участков 5'-областей транскриптов</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Коротких участков 3'-областей транскриптов</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Чтении параллельных рестрикционных сигнатур транскриптов</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Строго уникальных тэгов транскриптов</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7. К сиквенс-тэговым подходам относится: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RNASeq</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SAGE</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CAGE</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MPSS</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8. Сиквенс-тэговые методы с секвенированием по Сэнжеру последнего поколения разрешили следующее ограничение EST-метода: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Высокую стоимость анализа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Низкую производительность</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Неуникальность картирования тэгов на геноме</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Нечувствительность к транскрипт-вариантам</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9. В основе RNA-Seq лежит:</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Секвенирование следующего поколения (NGS)</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Мультиплекснаязонд-зависимая лигазная цепная реакция с последующей амплификацией (MLPA)</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Секвенирование по Максаму-Гилберту</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Г) </w:t>
      </w:r>
      <w:r w:rsidR="006F4DA4" w:rsidRPr="00AD050D">
        <w:rPr>
          <w:rFonts w:ascii="Times New Roman" w:hAnsi="Times New Roman" w:cs="Times New Roman"/>
          <w:sz w:val="28"/>
          <w:szCs w:val="28"/>
        </w:rPr>
        <w:t>Эдмановская деградация</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10. Длительная подготовка ткани к выделению РНК без стабилизационных реагентов приводит 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Артефактной индукции транскрипции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Деградации РНК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Образованию сшивок РНК-белок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Индукции рекомбинации экзонов</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11. При проведении RNA-Seq на любой платформе: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Обязательна амплификация транскриптома методом ПЦР</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Обязательна амплификация транскриптома методом IVT</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Обязателен анализ RIN</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 xml:space="preserve">Нельзя использовать spike-in РНК. </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12. В области транскриптомики рекомендации о публикуемых данных транскриптомного исследования регламентируются консорциумом:</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MIQE</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MIAME</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MINSEQE</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MIAPepAE</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13. Транскриптомное аналитическое приложение, независимое от языка R, - это:</w:t>
      </w:r>
    </w:p>
    <w:p w:rsidR="006F4DA4" w:rsidRPr="00AD050D" w:rsidRDefault="00043FBA" w:rsidP="006F4DA4">
      <w:pPr>
        <w:rPr>
          <w:rFonts w:ascii="Times New Roman" w:hAnsi="Times New Roman" w:cs="Times New Roman"/>
          <w:sz w:val="28"/>
          <w:szCs w:val="28"/>
          <w:lang w:val="en-US"/>
        </w:rPr>
      </w:pPr>
      <w:r>
        <w:rPr>
          <w:rFonts w:ascii="Times New Roman" w:hAnsi="Times New Roman" w:cs="Times New Roman"/>
          <w:sz w:val="28"/>
          <w:szCs w:val="28"/>
        </w:rPr>
        <w:t>А</w:t>
      </w:r>
      <w:r w:rsidRPr="00043FBA">
        <w:rPr>
          <w:rFonts w:ascii="Times New Roman" w:hAnsi="Times New Roman" w:cs="Times New Roman"/>
          <w:sz w:val="28"/>
          <w:szCs w:val="28"/>
          <w:lang w:val="en-US"/>
        </w:rPr>
        <w:t xml:space="preserve">) </w:t>
      </w:r>
      <w:r w:rsidR="006F4DA4" w:rsidRPr="00AD050D">
        <w:rPr>
          <w:rFonts w:ascii="Times New Roman" w:hAnsi="Times New Roman" w:cs="Times New Roman"/>
          <w:sz w:val="28"/>
          <w:szCs w:val="28"/>
          <w:lang w:val="en-US"/>
        </w:rPr>
        <w:t>EBI Expression profiler</w:t>
      </w:r>
    </w:p>
    <w:p w:rsidR="006F4DA4" w:rsidRPr="00AD050D" w:rsidRDefault="00043FBA" w:rsidP="006F4DA4">
      <w:pPr>
        <w:rPr>
          <w:rFonts w:ascii="Times New Roman" w:hAnsi="Times New Roman" w:cs="Times New Roman"/>
          <w:sz w:val="28"/>
          <w:szCs w:val="28"/>
          <w:lang w:val="en-US"/>
        </w:rPr>
      </w:pPr>
      <w:r>
        <w:rPr>
          <w:rFonts w:ascii="Times New Roman" w:hAnsi="Times New Roman" w:cs="Times New Roman"/>
          <w:sz w:val="28"/>
          <w:szCs w:val="28"/>
        </w:rPr>
        <w:t>Б</w:t>
      </w:r>
      <w:r w:rsidRPr="00043FBA">
        <w:rPr>
          <w:rFonts w:ascii="Times New Roman" w:hAnsi="Times New Roman" w:cs="Times New Roman"/>
          <w:sz w:val="28"/>
          <w:szCs w:val="28"/>
          <w:lang w:val="en-US"/>
        </w:rPr>
        <w:t xml:space="preserve">) </w:t>
      </w:r>
      <w:r w:rsidR="006F4DA4" w:rsidRPr="00AD050D">
        <w:rPr>
          <w:rFonts w:ascii="Times New Roman" w:hAnsi="Times New Roman" w:cs="Times New Roman"/>
          <w:sz w:val="28"/>
          <w:szCs w:val="28"/>
          <w:lang w:val="en-US"/>
        </w:rPr>
        <w:t>Chipster</w:t>
      </w:r>
    </w:p>
    <w:p w:rsidR="006F4DA4" w:rsidRPr="00043FBA"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lang w:val="en-US"/>
        </w:rPr>
        <w:t>EMBL</w:t>
      </w:r>
      <w:r w:rsidR="006F4DA4" w:rsidRPr="00043FBA">
        <w:rPr>
          <w:rFonts w:ascii="Times New Roman" w:hAnsi="Times New Roman" w:cs="Times New Roman"/>
          <w:sz w:val="28"/>
          <w:szCs w:val="28"/>
        </w:rPr>
        <w:t xml:space="preserve"> </w:t>
      </w:r>
      <w:r w:rsidR="006F4DA4" w:rsidRPr="00AD050D">
        <w:rPr>
          <w:rFonts w:ascii="Times New Roman" w:hAnsi="Times New Roman" w:cs="Times New Roman"/>
          <w:sz w:val="28"/>
          <w:szCs w:val="28"/>
          <w:lang w:val="en-US"/>
        </w:rPr>
        <w:t>R</w:t>
      </w:r>
      <w:r w:rsidR="006F4DA4" w:rsidRPr="00043FBA">
        <w:rPr>
          <w:rFonts w:ascii="Times New Roman" w:hAnsi="Times New Roman" w:cs="Times New Roman"/>
          <w:sz w:val="28"/>
          <w:szCs w:val="28"/>
        </w:rPr>
        <w:t>-</w:t>
      </w:r>
      <w:r w:rsidR="006F4DA4" w:rsidRPr="00AD050D">
        <w:rPr>
          <w:rFonts w:ascii="Times New Roman" w:hAnsi="Times New Roman" w:cs="Times New Roman"/>
          <w:sz w:val="28"/>
          <w:szCs w:val="28"/>
          <w:lang w:val="en-US"/>
        </w:rPr>
        <w:t>Cloud</w:t>
      </w:r>
      <w:r w:rsidR="006F4DA4" w:rsidRPr="00043FBA">
        <w:rPr>
          <w:rFonts w:ascii="Times New Roman" w:hAnsi="Times New Roman" w:cs="Times New Roman"/>
          <w:sz w:val="28"/>
          <w:szCs w:val="28"/>
        </w:rPr>
        <w:t xml:space="preserve"> </w:t>
      </w:r>
      <w:r w:rsidR="006F4DA4" w:rsidRPr="00AD050D">
        <w:rPr>
          <w:rFonts w:ascii="Times New Roman" w:hAnsi="Times New Roman" w:cs="Times New Roman"/>
          <w:sz w:val="28"/>
          <w:szCs w:val="28"/>
          <w:lang w:val="en-US"/>
        </w:rPr>
        <w:t>Workbench</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Ни одно из перечисленных</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14. Контроль качества транскриптомного исследования может обеспечиваться: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А) </w:t>
      </w:r>
      <w:r w:rsidR="006F4DA4" w:rsidRPr="00AD050D">
        <w:rPr>
          <w:rFonts w:ascii="Times New Roman" w:hAnsi="Times New Roman" w:cs="Times New Roman"/>
          <w:sz w:val="28"/>
          <w:szCs w:val="28"/>
        </w:rPr>
        <w:t>Использованием spike-in РНК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Использованием C</w:t>
      </w:r>
      <w:r w:rsidR="006F4DA4" w:rsidRPr="00AD050D">
        <w:rPr>
          <w:rFonts w:ascii="Times New Roman" w:hAnsi="Times New Roman" w:cs="Times New Roman"/>
          <w:sz w:val="28"/>
          <w:szCs w:val="28"/>
          <w:vertAlign w:val="subscript"/>
        </w:rPr>
        <w:t>0</w:t>
      </w:r>
      <w:r w:rsidR="006F4DA4" w:rsidRPr="00AD050D">
        <w:rPr>
          <w:rFonts w:ascii="Times New Roman" w:hAnsi="Times New Roman" w:cs="Times New Roman"/>
          <w:sz w:val="28"/>
          <w:szCs w:val="28"/>
        </w:rPr>
        <w:t xml:space="preserve">t ДНК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Подтверждением результатов с помощью количественной ПЦР</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Анализом согласия биорепликатов</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15. Методы статистического анализа данных транскриптомного исследования: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Выбираются исследователем</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Строго зависят от типа исследования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Назначаются консорциумом по соответствующему исследованию за текущий год</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Зависят от используемой платформы и соответствующего аналитического приложения</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16. К методам предстатистической обработки данных относится: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 xml:space="preserve">Повышение мерности </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Центрирование</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Нормализация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 xml:space="preserve">Логарифмическое преобразование </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17.  Tiling-чипы содержат зонды, комплементарные:</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Референсному экзому</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Областям генома на заданном расстоянии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Экзон-экзонным стыкам</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Всему геному с n-кратным покрытием</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18. Биотиновое мечение используется в (при):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Одноцветных чиповых технологиях</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Двуцветных чиповых технологиях</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Безамплификационном варианте RNA-Seq</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Определении индекса целостности РНК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lastRenderedPageBreak/>
        <w:t>19. Селекция поли-(А)-РНК при работе с клетками человека позволяет:</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Выделить РНК, кодирующую все белки данной клетки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Выделить малые РНК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Выделить РНК, кодирующую часть белков</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Выделить рРНК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20. РНК-зависимые ДНК-полимеразы, используемые для мечения кДНК чувствительны 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Типу метки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Меченому нуклеотиду</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Температуре реакции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Присутствию в реакции РНК-носителя, например тРНК дрожжей</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21. T7T24-праймер – это:</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Шарнирный двунаправленный праймер</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Смесь коротких  (7 нт) и длинных  (24 нт) поли-(Т)-праймеров</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Праймер с сайтом связывания ДНК-зависимой РНК-полимеразы</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Праймер с 7 LNA-модифицироваными dT и 24 немодифицированными dT</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22. В реакции  транскриптомной IVT проводится: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Синтез многокопийного полипептида для гибридизации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Синтез одной цепи кДНК для амплификации РНК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Синтез двух цепей кДНК для амплификации РНК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Прямая РНК-зависимая РНК-полимеразная реакция</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23. ПЦР-амплификация кДНК в области полногеномной транскриптомики позволяет:</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Равномерно амплифицировать геном, в отличие от IVT</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Б) </w:t>
      </w:r>
      <w:r w:rsidR="006F4DA4" w:rsidRPr="00AD050D">
        <w:rPr>
          <w:rFonts w:ascii="Times New Roman" w:hAnsi="Times New Roman" w:cs="Times New Roman"/>
          <w:sz w:val="28"/>
          <w:szCs w:val="28"/>
        </w:rPr>
        <w:t>Увеличить концентрации анализируемых продуктов реверс-транскрипции РНК</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Избирательно амплифицировать все присутствующие в образце EST</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Избирательно обогатить фракцию малой ядрышковой РНК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24. К инструментам функциональной категоризации относится: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SAM</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KEGG</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GO</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uORF</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25. При кластеризации методом К-средних выбор количества кластеров обусловлен:</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Решением исследователя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Применением агломерационной иерархизации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Определением мерности пространства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С помощью нецентрального коэффициента корреляции Пирсона</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26. Выбор стабилизационного реагента для забора образца ткани обусловлен:</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Решением исследователя</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Типом ткани</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Предполагаемым временем хранения образца</w:t>
      </w:r>
    </w:p>
    <w:p w:rsidR="006F4DA4" w:rsidRPr="00AD050D" w:rsidRDefault="00043FBA"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Необходимостью проведения IVT</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27. Одним из компонентов промывочных растворов, применяемых в гибридизационных методах транскриптомики, является: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SOAP</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MAQ</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SDS</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ELAND</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lastRenderedPageBreak/>
        <w:t>28. Рабочий буферный раствор на основе ТРИС невозможно получить при добавлении: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Соляной кислоты</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ДЭПК</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Гидроксида натрия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Ионов гидроксония</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29. Биорепликаты в транскриптомике – это:</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Дубликаты одного и того же образца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Образцы одинакового типа, объединяемые в группы, при исследованиях, направленных на сравнение двух состояний</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Чипы, использованные для анализа одного или двух одних и тех же образцов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Области макрочипа с повторенными решетками зондов (микрочипов)</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30. Чип-принтер – это прибор для: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Нанесения зондов на носитель</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Раскапывания образцов для последующей гибридизации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Принтер для автоматической маркировки чиповых носителей (стекол, мембран)</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Прибор для модификации предметного стекла или мембраны для последующего нанесения зондов</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31. К обозначениям нуклеотидов не относится: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A</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G</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C</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K</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32.  Универсальным азотистым основанием является: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5-нитроиндол</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Б) </w:t>
      </w:r>
      <w:r w:rsidR="006F4DA4" w:rsidRPr="00AD050D">
        <w:rPr>
          <w:rFonts w:ascii="Times New Roman" w:hAnsi="Times New Roman" w:cs="Times New Roman"/>
          <w:sz w:val="28"/>
          <w:szCs w:val="28"/>
        </w:rPr>
        <w:t>VWR</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SSC</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YM-100</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33. Заякоренный поли-(дТ) праймер представляет собой: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Вырожденный праймер с dVdC-димером</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Вырожденный праймер с dVdN-димером</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Сy3-модифицированный олигонуклеотид</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Сy5-модифицированный олигонуклеотид</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34. Двуконцевое секвенирование позволяет: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Сократить время небулизации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Увеличить длину рида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Повысить динамический диапазон RNA-Seq</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Избежать этап амплификации кДНК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35. In silico-методом не является: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ПЦР в реальном времени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qПЦР</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Цифровая ПЦР</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SAM</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36. Пермутационное тестирование позволяет:</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Снизить вероятность детекции ложно-положительных межгрупповых отличий</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Определить количество необходимых для анализа образцов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Выявить ложно-отрицательные отличия первичного статистического анализа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Провести круговое сравнение результатов двуцветного чипового анализа</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37. Функциональная категоризация генов проводится для: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А) </w:t>
      </w:r>
      <w:r w:rsidR="006F4DA4" w:rsidRPr="00AD050D">
        <w:rPr>
          <w:rFonts w:ascii="Times New Roman" w:hAnsi="Times New Roman" w:cs="Times New Roman"/>
          <w:sz w:val="28"/>
          <w:szCs w:val="28"/>
        </w:rPr>
        <w:t>Описания роли генов в жизнедеятельности клеток при аннотации данных в публикации или базе</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Понижения вероятности детекции ложно-положительных межгрупповых отличий</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Оценки качества работы чипа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Оценки качества образцов</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38. Центроид – это: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Референсный образец в двуцветном гибридизационном эксперименте</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Линия – «достаточное измерение» в методе главных компонент</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Величина, по которой центрируются значения профилей экспрессии при предобработке транскриптомных данных</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Точка, представляющая кластер в методе К-средних</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39. Одноцветный вариант чипового транскриптомного метода основан на: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Конкурентной гибридизации с предоставляемым фирмой-поставщиком немеченым рефренс-образцом</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Избыточном количестве зондов относительно анализируемых транскриптов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Микрофлюидном анализе образца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Флуоресценции зондов, связавшихся с немечеными кДНК или аРНК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40. Чипы для транскриптомики бывают: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Жидкостные</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 xml:space="preserve">Газовые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Микрофлюидные</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Полупроводниковые</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41. Центрифужная сила g определяется: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В зависимости от радиуса и скорости вращения ротора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Б) </w:t>
      </w:r>
      <w:r w:rsidR="006F4DA4" w:rsidRPr="00AD050D">
        <w:rPr>
          <w:rFonts w:ascii="Times New Roman" w:hAnsi="Times New Roman" w:cs="Times New Roman"/>
          <w:sz w:val="28"/>
          <w:szCs w:val="28"/>
        </w:rPr>
        <w:t>Скоростью вращения ротора, независимо от его радиуса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Зависит от плотности центрифугируемого раствора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 xml:space="preserve">Углом наклона пробирок в роторе </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42. Вместо дитиотриетола, но с меньшей эффективностью, может быть использован:</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Додецилсульфат натрия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Гуанидинтиоцианат</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Бета-меркаптоэтанол</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Тризол</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43. Для определения целостности РНК электрофоретическим методом следует использовать: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Агарозный гель, 1%</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Агарозный гель, 20%</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Полиакриламидный гель, 1%</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Полиакриламидный гель,  20%</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44. В базе GeneCards содержится информация о генах и их продуктах:</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Эукариот</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Человека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Модельных организмов – крысы, дрозофилы, мыши, а также человека</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Позвоночных</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45. Для обнаружения паттернов экспрессии в n-мерном пространстве осями координат являются: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Гены, откладываются величины экспрессии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Образцы, откладываются величины экспрессии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Гены, откладываются номера образцов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Интенсивности экспрессии, откладываются ранжированные гены</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lastRenderedPageBreak/>
        <w:t xml:space="preserve">46. По завершении проекта ENCODE: </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Было подтверждено наличие в геноме человека большого количества «мусорной» ДНК</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Оказалось, что большая часть генов транскрибируется не единственным образом</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Было описано влияние 5’-НТО-рамок считывания на регуляцию стабильности РНК</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Был аннотирован 94241 экзонный-экзонный стык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47. Ферменты M-MLV и SuperScript являются: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Родственными ревертазами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 xml:space="preserve">Производными </w:t>
      </w:r>
      <w:r w:rsidR="006F4DA4" w:rsidRPr="00AD050D">
        <w:rPr>
          <w:rFonts w:ascii="Times New Roman" w:hAnsi="Times New Roman" w:cs="Times New Roman"/>
          <w:sz w:val="28"/>
          <w:szCs w:val="28"/>
          <w:lang w:val="en-US"/>
        </w:rPr>
        <w:t>T</w:t>
      </w:r>
      <w:r w:rsidR="006F4DA4" w:rsidRPr="00AD050D">
        <w:rPr>
          <w:rFonts w:ascii="Times New Roman" w:hAnsi="Times New Roman" w:cs="Times New Roman"/>
          <w:sz w:val="28"/>
          <w:szCs w:val="28"/>
        </w:rPr>
        <w:t>7-РНК-полимеразы</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 xml:space="preserve">Рестриктазами, используемые для фрагментации ДНК в </w:t>
      </w:r>
      <w:r w:rsidR="006F4DA4" w:rsidRPr="00AD050D">
        <w:rPr>
          <w:rFonts w:ascii="Times New Roman" w:hAnsi="Times New Roman" w:cs="Times New Roman"/>
          <w:sz w:val="28"/>
          <w:szCs w:val="28"/>
          <w:lang w:val="en-US"/>
        </w:rPr>
        <w:t>RNA</w:t>
      </w:r>
      <w:r w:rsidR="006F4DA4" w:rsidRPr="00AD050D">
        <w:rPr>
          <w:rFonts w:ascii="Times New Roman" w:hAnsi="Times New Roman" w:cs="Times New Roman"/>
          <w:sz w:val="28"/>
          <w:szCs w:val="28"/>
        </w:rPr>
        <w:t>-</w:t>
      </w:r>
      <w:r w:rsidR="006F4DA4" w:rsidRPr="00AD050D">
        <w:rPr>
          <w:rFonts w:ascii="Times New Roman" w:hAnsi="Times New Roman" w:cs="Times New Roman"/>
          <w:sz w:val="28"/>
          <w:szCs w:val="28"/>
          <w:lang w:val="en-US"/>
        </w:rPr>
        <w:t>Seq</w:t>
      </w:r>
    </w:p>
    <w:p w:rsidR="006F4DA4" w:rsidRPr="004315B3"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 xml:space="preserve">РНК-полимеразами, используемыми в </w:t>
      </w:r>
      <w:r w:rsidR="006F4DA4" w:rsidRPr="00AD050D">
        <w:rPr>
          <w:rFonts w:ascii="Times New Roman" w:hAnsi="Times New Roman" w:cs="Times New Roman"/>
          <w:sz w:val="28"/>
          <w:szCs w:val="28"/>
          <w:lang w:val="en-US"/>
        </w:rPr>
        <w:t>IVT</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 xml:space="preserve">48. Проблемой </w:t>
      </w:r>
      <w:r w:rsidRPr="003A513E">
        <w:rPr>
          <w:rFonts w:ascii="Times New Roman" w:hAnsi="Times New Roman" w:cs="Times New Roman"/>
          <w:b/>
          <w:sz w:val="28"/>
          <w:szCs w:val="28"/>
          <w:lang w:val="en-US"/>
        </w:rPr>
        <w:t>RNA</w:t>
      </w:r>
      <w:r w:rsidRPr="003A513E">
        <w:rPr>
          <w:rFonts w:ascii="Times New Roman" w:hAnsi="Times New Roman" w:cs="Times New Roman"/>
          <w:b/>
          <w:sz w:val="28"/>
          <w:szCs w:val="28"/>
        </w:rPr>
        <w:t>-</w:t>
      </w:r>
      <w:r w:rsidRPr="003A513E">
        <w:rPr>
          <w:rFonts w:ascii="Times New Roman" w:hAnsi="Times New Roman" w:cs="Times New Roman"/>
          <w:b/>
          <w:sz w:val="28"/>
          <w:szCs w:val="28"/>
          <w:lang w:val="en-US"/>
        </w:rPr>
        <w:t>Seq</w:t>
      </w:r>
      <w:r w:rsidRPr="003A513E">
        <w:rPr>
          <w:rFonts w:ascii="Times New Roman" w:hAnsi="Times New Roman" w:cs="Times New Roman"/>
          <w:b/>
          <w:sz w:val="28"/>
          <w:szCs w:val="28"/>
        </w:rPr>
        <w:t xml:space="preserve"> при длине ридов 100-200 нуклеотидов является:</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«Шум» от не охарактеризованных сплайсинговых событий</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Экспоненциальный рост дороговизны</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Необходимость небулизации образца для создания библиотеки</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Утрата информации о внутренних областях анализируемых длинных РНК</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49. К задачам транскриптомики не относится определение:</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А) </w:t>
      </w:r>
      <w:r w:rsidR="006F4DA4" w:rsidRPr="00AD050D">
        <w:rPr>
          <w:rFonts w:ascii="Times New Roman" w:hAnsi="Times New Roman" w:cs="Times New Roman"/>
          <w:sz w:val="28"/>
          <w:szCs w:val="28"/>
        </w:rPr>
        <w:t>Границ интронов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Границ интеинов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rPr>
        <w:t>Границ экзонов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Г) </w:t>
      </w:r>
      <w:r w:rsidR="006F4DA4" w:rsidRPr="00AD050D">
        <w:rPr>
          <w:rFonts w:ascii="Times New Roman" w:hAnsi="Times New Roman" w:cs="Times New Roman"/>
          <w:sz w:val="28"/>
          <w:szCs w:val="28"/>
        </w:rPr>
        <w:t>Паттернов сплайсинга</w:t>
      </w:r>
    </w:p>
    <w:p w:rsidR="006F4DA4" w:rsidRPr="003A513E" w:rsidRDefault="006F4DA4" w:rsidP="006F4DA4">
      <w:pPr>
        <w:rPr>
          <w:rFonts w:ascii="Times New Roman" w:hAnsi="Times New Roman" w:cs="Times New Roman"/>
          <w:b/>
          <w:sz w:val="28"/>
          <w:szCs w:val="28"/>
        </w:rPr>
      </w:pPr>
      <w:r w:rsidRPr="003A513E">
        <w:rPr>
          <w:rFonts w:ascii="Times New Roman" w:hAnsi="Times New Roman" w:cs="Times New Roman"/>
          <w:b/>
          <w:sz w:val="28"/>
          <w:szCs w:val="28"/>
        </w:rPr>
        <w:t>50. Обобщенные линейные модели легли в основу матаппарата анализа данных:</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lastRenderedPageBreak/>
        <w:t xml:space="preserve">А) </w:t>
      </w:r>
      <w:r w:rsidR="006F4DA4" w:rsidRPr="00AD050D">
        <w:rPr>
          <w:rFonts w:ascii="Times New Roman" w:hAnsi="Times New Roman" w:cs="Times New Roman"/>
          <w:sz w:val="28"/>
          <w:szCs w:val="28"/>
          <w:lang w:val="en-US"/>
        </w:rPr>
        <w:t>MPSS</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Б) </w:t>
      </w:r>
      <w:r w:rsidR="006F4DA4" w:rsidRPr="00AD050D">
        <w:rPr>
          <w:rFonts w:ascii="Times New Roman" w:hAnsi="Times New Roman" w:cs="Times New Roman"/>
          <w:sz w:val="28"/>
          <w:szCs w:val="28"/>
        </w:rPr>
        <w:t>Одноцветных чипов</w:t>
      </w:r>
    </w:p>
    <w:p w:rsidR="006F4DA4" w:rsidRPr="00AD050D" w:rsidRDefault="004315B3" w:rsidP="006F4DA4">
      <w:pPr>
        <w:rPr>
          <w:rFonts w:ascii="Times New Roman" w:hAnsi="Times New Roman" w:cs="Times New Roman"/>
          <w:sz w:val="28"/>
          <w:szCs w:val="28"/>
        </w:rPr>
      </w:pPr>
      <w:r>
        <w:rPr>
          <w:rFonts w:ascii="Times New Roman" w:hAnsi="Times New Roman" w:cs="Times New Roman"/>
          <w:sz w:val="28"/>
          <w:szCs w:val="28"/>
        </w:rPr>
        <w:t xml:space="preserve">В) </w:t>
      </w:r>
      <w:r w:rsidR="006F4DA4" w:rsidRPr="00AD050D">
        <w:rPr>
          <w:rFonts w:ascii="Times New Roman" w:hAnsi="Times New Roman" w:cs="Times New Roman"/>
          <w:sz w:val="28"/>
          <w:szCs w:val="28"/>
          <w:lang w:val="en-US"/>
        </w:rPr>
        <w:t>RNA</w:t>
      </w:r>
      <w:r w:rsidR="006F4DA4" w:rsidRPr="00AD050D">
        <w:rPr>
          <w:rFonts w:ascii="Times New Roman" w:hAnsi="Times New Roman" w:cs="Times New Roman"/>
          <w:sz w:val="28"/>
          <w:szCs w:val="28"/>
        </w:rPr>
        <w:t>-</w:t>
      </w:r>
      <w:r w:rsidR="006F4DA4" w:rsidRPr="00AD050D">
        <w:rPr>
          <w:rFonts w:ascii="Times New Roman" w:hAnsi="Times New Roman" w:cs="Times New Roman"/>
          <w:sz w:val="28"/>
          <w:szCs w:val="28"/>
          <w:lang w:val="en-US"/>
        </w:rPr>
        <w:t>Seq</w:t>
      </w:r>
    </w:p>
    <w:p w:rsidR="006F4DA4" w:rsidRPr="00AB12CF" w:rsidRDefault="004315B3">
      <w:r>
        <w:rPr>
          <w:rFonts w:ascii="Times New Roman" w:hAnsi="Times New Roman" w:cs="Times New Roman"/>
          <w:sz w:val="28"/>
          <w:szCs w:val="28"/>
        </w:rPr>
        <w:t xml:space="preserve">Г) </w:t>
      </w:r>
      <w:r w:rsidR="006F4DA4" w:rsidRPr="00AD050D">
        <w:rPr>
          <w:rFonts w:ascii="Times New Roman" w:hAnsi="Times New Roman" w:cs="Times New Roman"/>
          <w:sz w:val="28"/>
          <w:szCs w:val="28"/>
          <w:lang w:val="en-US"/>
        </w:rPr>
        <w:t>CAGE</w:t>
      </w:r>
    </w:p>
    <w:sectPr w:rsidR="006F4DA4" w:rsidRPr="00AB12CF" w:rsidSect="006F4DA4">
      <w:footerReference w:type="default" r:id="rId26"/>
      <w:pgSz w:w="12240" w:h="15840"/>
      <w:pgMar w:top="1418" w:right="1134" w:bottom="1418" w:left="1418"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C06" w:rsidRDefault="00032C06" w:rsidP="006F4DA4">
      <w:pPr>
        <w:spacing w:line="240" w:lineRule="auto"/>
      </w:pPr>
      <w:r>
        <w:separator/>
      </w:r>
    </w:p>
  </w:endnote>
  <w:endnote w:type="continuationSeparator" w:id="1">
    <w:p w:rsidR="00032C06" w:rsidRDefault="00032C06" w:rsidP="006F4D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3814"/>
      <w:docPartObj>
        <w:docPartGallery w:val="Page Numbers (Bottom of Page)"/>
        <w:docPartUnique/>
      </w:docPartObj>
    </w:sdtPr>
    <w:sdtContent>
      <w:p w:rsidR="00847A82" w:rsidRDefault="00847A82">
        <w:pPr>
          <w:pStyle w:val="a8"/>
          <w:jc w:val="center"/>
        </w:pPr>
        <w:fldSimple w:instr=" PAGE   \* MERGEFORMAT ">
          <w:r w:rsidR="0001785E">
            <w:rPr>
              <w:noProof/>
            </w:rPr>
            <w:t>2</w:t>
          </w:r>
        </w:fldSimple>
      </w:p>
    </w:sdtContent>
  </w:sdt>
  <w:p w:rsidR="00847A82" w:rsidRDefault="00847A8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C06" w:rsidRDefault="00032C06" w:rsidP="006F4DA4">
      <w:pPr>
        <w:spacing w:line="240" w:lineRule="auto"/>
      </w:pPr>
      <w:r>
        <w:separator/>
      </w:r>
    </w:p>
  </w:footnote>
  <w:footnote w:type="continuationSeparator" w:id="1">
    <w:p w:rsidR="00032C06" w:rsidRDefault="00032C06" w:rsidP="006F4DA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6687283"/>
    <w:multiLevelType w:val="hybridMultilevel"/>
    <w:tmpl w:val="BDE69AEE"/>
    <w:lvl w:ilvl="0" w:tplc="04090001">
      <w:start w:val="1"/>
      <w:numFmt w:val="bullet"/>
      <w:lvlText w:val=""/>
      <w:lvlJc w:val="left"/>
      <w:pPr>
        <w:ind w:left="1391" w:hanging="360"/>
      </w:pPr>
      <w:rPr>
        <w:rFonts w:ascii="Symbol" w:hAnsi="Symbol" w:hint="default"/>
      </w:rPr>
    </w:lvl>
    <w:lvl w:ilvl="1" w:tplc="04090003" w:tentative="1">
      <w:start w:val="1"/>
      <w:numFmt w:val="bullet"/>
      <w:lvlText w:val="o"/>
      <w:lvlJc w:val="left"/>
      <w:pPr>
        <w:ind w:left="2111" w:hanging="360"/>
      </w:pPr>
      <w:rPr>
        <w:rFonts w:ascii="Courier New" w:hAnsi="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12">
    <w:nsid w:val="74E55686"/>
    <w:multiLevelType w:val="hybridMultilevel"/>
    <w:tmpl w:val="3B82612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AB12CF"/>
    <w:rsid w:val="0001785E"/>
    <w:rsid w:val="00032C06"/>
    <w:rsid w:val="00043FBA"/>
    <w:rsid w:val="000441A1"/>
    <w:rsid w:val="00075848"/>
    <w:rsid w:val="000F58EE"/>
    <w:rsid w:val="001643FA"/>
    <w:rsid w:val="00194773"/>
    <w:rsid w:val="001C28D9"/>
    <w:rsid w:val="00270D8F"/>
    <w:rsid w:val="002E6D6E"/>
    <w:rsid w:val="00301FAF"/>
    <w:rsid w:val="003A513E"/>
    <w:rsid w:val="00430DCB"/>
    <w:rsid w:val="004315B3"/>
    <w:rsid w:val="00524E22"/>
    <w:rsid w:val="005273C2"/>
    <w:rsid w:val="005D302C"/>
    <w:rsid w:val="005E5710"/>
    <w:rsid w:val="00640FCE"/>
    <w:rsid w:val="006F4DA4"/>
    <w:rsid w:val="00720CA9"/>
    <w:rsid w:val="00791169"/>
    <w:rsid w:val="007F2BB1"/>
    <w:rsid w:val="00802D7D"/>
    <w:rsid w:val="00833DED"/>
    <w:rsid w:val="008469B4"/>
    <w:rsid w:val="00847A82"/>
    <w:rsid w:val="00890181"/>
    <w:rsid w:val="008D0E39"/>
    <w:rsid w:val="008E629A"/>
    <w:rsid w:val="00950C07"/>
    <w:rsid w:val="009B0CDF"/>
    <w:rsid w:val="009D49D9"/>
    <w:rsid w:val="009E0433"/>
    <w:rsid w:val="009E48D0"/>
    <w:rsid w:val="00AB12CF"/>
    <w:rsid w:val="00AC0AF7"/>
    <w:rsid w:val="00AD050D"/>
    <w:rsid w:val="00C2003E"/>
    <w:rsid w:val="00C336A7"/>
    <w:rsid w:val="00C41E65"/>
    <w:rsid w:val="00CB1AEB"/>
    <w:rsid w:val="00DB3EBC"/>
    <w:rsid w:val="00E61ACD"/>
    <w:rsid w:val="00E92267"/>
    <w:rsid w:val="00EC2A33"/>
    <w:rsid w:val="00EF05E0"/>
    <w:rsid w:val="00F473AA"/>
    <w:rsid w:val="00FA1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267"/>
    <w:pPr>
      <w:spacing w:line="360" w:lineRule="auto"/>
      <w:ind w:firstLine="851"/>
      <w:jc w:val="both"/>
    </w:pPr>
    <w:rPr>
      <w:lang w:val="ru-RU"/>
    </w:rPr>
  </w:style>
  <w:style w:type="paragraph" w:styleId="1">
    <w:name w:val="heading 1"/>
    <w:basedOn w:val="a"/>
    <w:next w:val="a"/>
    <w:link w:val="10"/>
    <w:uiPriority w:val="9"/>
    <w:qFormat/>
    <w:rsid w:val="00E92267"/>
    <w:pPr>
      <w:keepNext/>
      <w:keepLines/>
      <w:ind w:firstLine="0"/>
      <w:jc w:val="center"/>
      <w:outlineLvl w:val="0"/>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2267"/>
    <w:rPr>
      <w:rFonts w:ascii="Times New Roman" w:eastAsiaTheme="majorEastAsia" w:hAnsi="Times New Roman" w:cstheme="majorBidi"/>
      <w:b/>
      <w:bCs/>
      <w:sz w:val="28"/>
      <w:szCs w:val="32"/>
      <w:lang w:val="ru-RU"/>
    </w:rPr>
  </w:style>
  <w:style w:type="paragraph" w:styleId="a3">
    <w:name w:val="Balloon Text"/>
    <w:basedOn w:val="a"/>
    <w:link w:val="a4"/>
    <w:uiPriority w:val="99"/>
    <w:semiHidden/>
    <w:unhideWhenUsed/>
    <w:rsid w:val="00AB12CF"/>
    <w:pPr>
      <w:spacing w:line="240" w:lineRule="auto"/>
    </w:pPr>
    <w:rPr>
      <w:rFonts w:ascii="Lucida Grande" w:hAnsi="Lucida Grande" w:cs="Lucida Grande"/>
      <w:sz w:val="18"/>
      <w:szCs w:val="18"/>
    </w:rPr>
  </w:style>
  <w:style w:type="character" w:customStyle="1" w:styleId="a4">
    <w:name w:val="Текст выноски Знак"/>
    <w:basedOn w:val="a0"/>
    <w:link w:val="a3"/>
    <w:uiPriority w:val="99"/>
    <w:semiHidden/>
    <w:rsid w:val="00AB12CF"/>
    <w:rPr>
      <w:rFonts w:ascii="Lucida Grande" w:hAnsi="Lucida Grande" w:cs="Lucida Grande"/>
      <w:sz w:val="18"/>
      <w:szCs w:val="18"/>
      <w:lang w:val="ru-RU"/>
    </w:rPr>
  </w:style>
  <w:style w:type="paragraph" w:styleId="a5">
    <w:name w:val="List Paragraph"/>
    <w:basedOn w:val="a"/>
    <w:uiPriority w:val="34"/>
    <w:qFormat/>
    <w:rsid w:val="009E48D0"/>
    <w:pPr>
      <w:ind w:left="720"/>
      <w:contextualSpacing/>
    </w:pPr>
  </w:style>
  <w:style w:type="paragraph" w:styleId="a6">
    <w:name w:val="header"/>
    <w:basedOn w:val="a"/>
    <w:link w:val="a7"/>
    <w:uiPriority w:val="99"/>
    <w:semiHidden/>
    <w:unhideWhenUsed/>
    <w:rsid w:val="006F4DA4"/>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6F4DA4"/>
    <w:rPr>
      <w:lang w:val="ru-RU"/>
    </w:rPr>
  </w:style>
  <w:style w:type="paragraph" w:styleId="a8">
    <w:name w:val="footer"/>
    <w:basedOn w:val="a"/>
    <w:link w:val="a9"/>
    <w:uiPriority w:val="99"/>
    <w:unhideWhenUsed/>
    <w:rsid w:val="006F4DA4"/>
    <w:pPr>
      <w:tabs>
        <w:tab w:val="center" w:pos="4677"/>
        <w:tab w:val="right" w:pos="9355"/>
      </w:tabs>
      <w:spacing w:line="240" w:lineRule="auto"/>
    </w:pPr>
  </w:style>
  <w:style w:type="character" w:customStyle="1" w:styleId="a9">
    <w:name w:val="Нижний колонтитул Знак"/>
    <w:basedOn w:val="a0"/>
    <w:link w:val="a8"/>
    <w:uiPriority w:val="99"/>
    <w:rsid w:val="006F4DA4"/>
    <w:rPr>
      <w:lang w:val="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267"/>
    <w:pPr>
      <w:spacing w:line="360" w:lineRule="auto"/>
      <w:ind w:firstLine="851"/>
      <w:jc w:val="both"/>
    </w:pPr>
    <w:rPr>
      <w:lang w:val="ru-RU"/>
    </w:rPr>
  </w:style>
  <w:style w:type="paragraph" w:styleId="Heading1">
    <w:name w:val="heading 1"/>
    <w:basedOn w:val="Normal"/>
    <w:next w:val="Normal"/>
    <w:link w:val="Heading1Char"/>
    <w:uiPriority w:val="9"/>
    <w:qFormat/>
    <w:rsid w:val="00E92267"/>
    <w:pPr>
      <w:keepNext/>
      <w:keepLines/>
      <w:ind w:firstLine="0"/>
      <w:jc w:val="center"/>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267"/>
    <w:rPr>
      <w:rFonts w:ascii="Times New Roman" w:eastAsiaTheme="majorEastAsia" w:hAnsi="Times New Roman" w:cstheme="majorBidi"/>
      <w:b/>
      <w:bCs/>
      <w:sz w:val="28"/>
      <w:szCs w:val="32"/>
      <w:lang w:val="ru-RU"/>
    </w:rPr>
  </w:style>
  <w:style w:type="paragraph" w:styleId="BalloonText">
    <w:name w:val="Balloon Text"/>
    <w:basedOn w:val="Normal"/>
    <w:link w:val="BalloonTextChar"/>
    <w:uiPriority w:val="99"/>
    <w:semiHidden/>
    <w:unhideWhenUsed/>
    <w:rsid w:val="00AB12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12CF"/>
    <w:rPr>
      <w:rFonts w:ascii="Lucida Grande" w:hAnsi="Lucida Grande" w:cs="Lucida Grande"/>
      <w:sz w:val="18"/>
      <w:szCs w:val="18"/>
      <w:lang w:val="ru-RU"/>
    </w:rPr>
  </w:style>
  <w:style w:type="paragraph" w:styleId="ListParagraph">
    <w:name w:val="List Paragraph"/>
    <w:basedOn w:val="Normal"/>
    <w:uiPriority w:val="34"/>
    <w:qFormat/>
    <w:rsid w:val="009E48D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12408</Words>
  <Characters>70731</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p.zolotukhin@gmail.com</Company>
  <LinksUpToDate>false</LinksUpToDate>
  <CharactersWithSpaces>82974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Zolotukhin</dc:creator>
  <cp:lastModifiedBy>Лена</cp:lastModifiedBy>
  <cp:revision>2</cp:revision>
  <cp:lastPrinted>2013-06-04T10:21:00Z</cp:lastPrinted>
  <dcterms:created xsi:type="dcterms:W3CDTF">2013-06-04T11:36:00Z</dcterms:created>
  <dcterms:modified xsi:type="dcterms:W3CDTF">2013-06-04T11:36:00Z</dcterms:modified>
</cp:coreProperties>
</file>